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3110" w14:textId="77777777" w:rsidR="002C18CA" w:rsidRDefault="002C18CA" w:rsidP="004B62BA">
      <w:pPr>
        <w:spacing w:after="0" w:line="240" w:lineRule="auto"/>
        <w:jc w:val="center"/>
        <w:rPr>
          <w:rFonts w:ascii="Aptos" w:hAnsi="Aptos" w:cstheme="minorHAnsi"/>
          <w:b/>
          <w:bCs/>
          <w:sz w:val="32"/>
          <w:szCs w:val="32"/>
        </w:rPr>
      </w:pPr>
    </w:p>
    <w:p w14:paraId="07F8C718" w14:textId="3DEE82EA" w:rsidR="008D5439" w:rsidRPr="004B62BA" w:rsidRDefault="008D5439" w:rsidP="004B62BA">
      <w:pPr>
        <w:spacing w:after="0" w:line="240" w:lineRule="auto"/>
        <w:jc w:val="center"/>
        <w:rPr>
          <w:rFonts w:ascii="Aptos" w:hAnsi="Aptos" w:cstheme="minorHAnsi"/>
          <w:b/>
          <w:bCs/>
          <w:sz w:val="32"/>
          <w:szCs w:val="32"/>
        </w:rPr>
      </w:pPr>
      <w:r w:rsidRPr="004B62BA">
        <w:rPr>
          <w:rFonts w:ascii="Aptos" w:hAnsi="Aptos" w:cstheme="minorHAnsi"/>
          <w:b/>
          <w:bCs/>
          <w:sz w:val="32"/>
          <w:szCs w:val="32"/>
        </w:rPr>
        <w:t>ABC</w:t>
      </w:r>
    </w:p>
    <w:p w14:paraId="3BFA9E9B" w14:textId="40D6B55F" w:rsidR="003D17A3" w:rsidRPr="004B62BA" w:rsidRDefault="00EB0BA7" w:rsidP="004B62BA">
      <w:pPr>
        <w:spacing w:after="0" w:line="240" w:lineRule="auto"/>
        <w:jc w:val="center"/>
        <w:rPr>
          <w:rFonts w:ascii="Aptos" w:hAnsi="Aptos" w:cstheme="minorHAnsi"/>
          <w:b/>
          <w:bCs/>
          <w:sz w:val="32"/>
          <w:szCs w:val="32"/>
        </w:rPr>
      </w:pPr>
      <w:r w:rsidRPr="004B62BA">
        <w:rPr>
          <w:rFonts w:ascii="Aptos" w:hAnsi="Aptos" w:cstheme="minorHAnsi"/>
          <w:b/>
          <w:bCs/>
          <w:sz w:val="32"/>
          <w:szCs w:val="32"/>
        </w:rPr>
        <w:t>Combustible</w:t>
      </w:r>
      <w:r w:rsidR="008D5439" w:rsidRPr="004B62BA">
        <w:rPr>
          <w:rFonts w:ascii="Aptos" w:hAnsi="Aptos" w:cstheme="minorHAnsi"/>
          <w:b/>
          <w:bCs/>
          <w:sz w:val="32"/>
          <w:szCs w:val="32"/>
        </w:rPr>
        <w:t>s</w:t>
      </w:r>
      <w:r w:rsidRPr="004B62BA">
        <w:rPr>
          <w:rFonts w:ascii="Aptos" w:hAnsi="Aptos" w:cstheme="minorHAnsi"/>
          <w:b/>
          <w:bCs/>
          <w:sz w:val="32"/>
          <w:szCs w:val="32"/>
        </w:rPr>
        <w:t xml:space="preserve"> Sostenibles de Aviación (SAF)</w:t>
      </w:r>
    </w:p>
    <w:p w14:paraId="587A125A" w14:textId="65B31218" w:rsidR="008D5439" w:rsidRPr="004B62BA" w:rsidRDefault="008D5439" w:rsidP="004B62BA">
      <w:pPr>
        <w:jc w:val="both"/>
        <w:rPr>
          <w:rFonts w:ascii="Aptos" w:hAnsi="Aptos" w:cstheme="minorHAnsi"/>
          <w:b/>
          <w:bCs/>
          <w:sz w:val="24"/>
          <w:szCs w:val="24"/>
          <w:u w:val="single"/>
        </w:rPr>
      </w:pPr>
    </w:p>
    <w:p w14:paraId="2F43A1F5" w14:textId="3FD83AE8" w:rsidR="00DE7FCF" w:rsidRPr="004B62BA" w:rsidRDefault="008D5439" w:rsidP="004B62BA">
      <w:pPr>
        <w:jc w:val="both"/>
        <w:rPr>
          <w:rFonts w:ascii="Aptos" w:hAnsi="Aptos" w:cstheme="minorHAnsi"/>
          <w:b/>
          <w:bCs/>
          <w:sz w:val="24"/>
          <w:szCs w:val="24"/>
          <w:u w:val="single"/>
        </w:rPr>
      </w:pPr>
      <w:r w:rsidRPr="004B62BA">
        <w:rPr>
          <w:rFonts w:ascii="Aptos" w:hAnsi="Aptos" w:cstheme="minorHAnsi"/>
          <w:b/>
          <w:bCs/>
          <w:sz w:val="24"/>
          <w:szCs w:val="24"/>
          <w:u w:val="single"/>
        </w:rPr>
        <w:t>¿Qué son?</w:t>
      </w:r>
    </w:p>
    <w:p w14:paraId="4E561E4B" w14:textId="77777777" w:rsidR="008D5439" w:rsidRPr="004B62BA" w:rsidRDefault="008D5439" w:rsidP="004B62BA">
      <w:pPr>
        <w:pStyle w:val="Prrafodelista"/>
        <w:numPr>
          <w:ilvl w:val="0"/>
          <w:numId w:val="7"/>
        </w:numPr>
        <w:jc w:val="both"/>
        <w:rPr>
          <w:rFonts w:ascii="Aptos" w:hAnsi="Aptos" w:cstheme="minorHAnsi"/>
          <w:sz w:val="24"/>
          <w:szCs w:val="24"/>
        </w:rPr>
      </w:pPr>
      <w:r w:rsidRPr="004B62BA">
        <w:rPr>
          <w:rFonts w:ascii="Aptos" w:hAnsi="Aptos" w:cstheme="minorHAnsi"/>
          <w:sz w:val="24"/>
          <w:szCs w:val="24"/>
        </w:rPr>
        <w:t>Los "</w:t>
      </w:r>
      <w:proofErr w:type="spellStart"/>
      <w:r w:rsidRPr="004B62BA">
        <w:rPr>
          <w:rFonts w:ascii="Aptos" w:hAnsi="Aptos" w:cstheme="minorHAnsi"/>
          <w:sz w:val="24"/>
          <w:szCs w:val="24"/>
        </w:rPr>
        <w:t>Sustainable</w:t>
      </w:r>
      <w:proofErr w:type="spellEnd"/>
      <w:r w:rsidRPr="004B62BA">
        <w:rPr>
          <w:rFonts w:ascii="Aptos" w:hAnsi="Aptos" w:cstheme="minorHAnsi"/>
          <w:sz w:val="24"/>
          <w:szCs w:val="24"/>
        </w:rPr>
        <w:t xml:space="preserve"> </w:t>
      </w:r>
      <w:proofErr w:type="spellStart"/>
      <w:r w:rsidRPr="004B62BA">
        <w:rPr>
          <w:rFonts w:ascii="Aptos" w:hAnsi="Aptos" w:cstheme="minorHAnsi"/>
          <w:sz w:val="24"/>
          <w:szCs w:val="24"/>
        </w:rPr>
        <w:t>Aviation</w:t>
      </w:r>
      <w:proofErr w:type="spellEnd"/>
      <w:r w:rsidRPr="004B62BA">
        <w:rPr>
          <w:rFonts w:ascii="Aptos" w:hAnsi="Aptos" w:cstheme="minorHAnsi"/>
          <w:sz w:val="24"/>
          <w:szCs w:val="24"/>
        </w:rPr>
        <w:t xml:space="preserve"> </w:t>
      </w:r>
      <w:proofErr w:type="spellStart"/>
      <w:r w:rsidRPr="004B62BA">
        <w:rPr>
          <w:rFonts w:ascii="Aptos" w:hAnsi="Aptos" w:cstheme="minorHAnsi"/>
          <w:sz w:val="24"/>
          <w:szCs w:val="24"/>
        </w:rPr>
        <w:t>Fuels</w:t>
      </w:r>
      <w:proofErr w:type="spellEnd"/>
      <w:r w:rsidRPr="004B62BA">
        <w:rPr>
          <w:rFonts w:ascii="Aptos" w:hAnsi="Aptos" w:cstheme="minorHAnsi"/>
          <w:sz w:val="24"/>
          <w:szCs w:val="24"/>
        </w:rPr>
        <w:t>" (SAF), o Combustibles de Aviación Sostenibles en español, son tipos de combustibles diseñados para su uso en aviones con el objetivo de reducir el impacto ambiental de la aviación. A diferencia de los combustibles tradicionales de aviación, que están basados en derivados del petróleo, los SAF se producen a partir de fuentes renovables y sostenibles.</w:t>
      </w:r>
    </w:p>
    <w:p w14:paraId="7F84F512" w14:textId="77777777" w:rsidR="008D5439" w:rsidRPr="004B62BA" w:rsidRDefault="008D5439" w:rsidP="004B62BA">
      <w:pPr>
        <w:pStyle w:val="Prrafodelista"/>
        <w:jc w:val="both"/>
        <w:rPr>
          <w:rFonts w:ascii="Aptos" w:hAnsi="Aptos" w:cstheme="minorHAnsi"/>
          <w:sz w:val="24"/>
          <w:szCs w:val="24"/>
        </w:rPr>
      </w:pPr>
    </w:p>
    <w:p w14:paraId="66E44261" w14:textId="77777777" w:rsidR="008D5439" w:rsidRPr="004B62BA" w:rsidRDefault="008D5439" w:rsidP="004B62BA">
      <w:pPr>
        <w:pStyle w:val="Prrafodelista"/>
        <w:numPr>
          <w:ilvl w:val="0"/>
          <w:numId w:val="7"/>
        </w:numPr>
        <w:jc w:val="both"/>
        <w:rPr>
          <w:rFonts w:ascii="Aptos" w:hAnsi="Aptos" w:cstheme="minorHAnsi"/>
          <w:sz w:val="24"/>
          <w:szCs w:val="24"/>
        </w:rPr>
      </w:pPr>
      <w:r w:rsidRPr="004B62BA">
        <w:rPr>
          <w:rFonts w:ascii="Aptos" w:hAnsi="Aptos" w:cstheme="minorHAnsi"/>
          <w:sz w:val="24"/>
          <w:szCs w:val="24"/>
        </w:rPr>
        <w:t>Se elaboran utilizando una variedad de materias primas, como aceites vegetales, grasas animales, desechos orgánicos y biomasa. Estos materiales se someten a procesos químicos para convertirlos en combustibles líquidos que son compatibles con las especificaciones de los motores de avión y pueden mezclarse con los combustibles tradicionales.</w:t>
      </w:r>
    </w:p>
    <w:p w14:paraId="5DD381DE" w14:textId="77777777" w:rsidR="008D5439" w:rsidRPr="004B62BA" w:rsidRDefault="008D5439" w:rsidP="004B62BA">
      <w:pPr>
        <w:pStyle w:val="Prrafodelista"/>
        <w:jc w:val="both"/>
        <w:rPr>
          <w:rFonts w:ascii="Aptos" w:hAnsi="Aptos" w:cstheme="minorHAnsi"/>
          <w:sz w:val="24"/>
          <w:szCs w:val="24"/>
        </w:rPr>
      </w:pPr>
    </w:p>
    <w:p w14:paraId="7ED85CB0" w14:textId="77777777" w:rsidR="008D5439" w:rsidRPr="004B62BA" w:rsidRDefault="008D5439" w:rsidP="004B62BA">
      <w:pPr>
        <w:pStyle w:val="Prrafodelista"/>
        <w:numPr>
          <w:ilvl w:val="0"/>
          <w:numId w:val="7"/>
        </w:numPr>
        <w:jc w:val="both"/>
        <w:rPr>
          <w:rFonts w:ascii="Aptos" w:hAnsi="Aptos" w:cstheme="minorHAnsi"/>
          <w:sz w:val="24"/>
          <w:szCs w:val="24"/>
        </w:rPr>
      </w:pPr>
      <w:r w:rsidRPr="004B62BA">
        <w:rPr>
          <w:rFonts w:ascii="Aptos" w:hAnsi="Aptos" w:cstheme="minorHAnsi"/>
          <w:sz w:val="24"/>
          <w:szCs w:val="24"/>
        </w:rPr>
        <w:t>La ventaja clave de los SAF es que, al ser producidos a partir de fuentes renovables, tienen el potencial de reducir significativamente las emisiones de gases de efecto invernadero y otros contaminantes en comparación con los combustibles fósiles convencionales. Aunque no son completamente libres de emisiones, ya que la combustión de cualquier tipo de combustible generará ciertas emisiones, los SAF pueden contribuir a una disminución neta en la huella de carbono de la aviación.</w:t>
      </w:r>
    </w:p>
    <w:p w14:paraId="4D68BEA7" w14:textId="77777777" w:rsidR="008D5439" w:rsidRPr="004B62BA" w:rsidRDefault="008D5439" w:rsidP="004B62BA">
      <w:pPr>
        <w:pStyle w:val="Prrafodelista"/>
        <w:jc w:val="both"/>
        <w:rPr>
          <w:rFonts w:ascii="Aptos" w:hAnsi="Aptos" w:cstheme="minorHAnsi"/>
          <w:sz w:val="24"/>
          <w:szCs w:val="24"/>
        </w:rPr>
      </w:pPr>
    </w:p>
    <w:p w14:paraId="693A3A8B" w14:textId="50A8F27E" w:rsidR="008D5439" w:rsidRPr="004B62BA" w:rsidRDefault="008D5439" w:rsidP="004B62BA">
      <w:pPr>
        <w:pStyle w:val="Prrafodelista"/>
        <w:numPr>
          <w:ilvl w:val="0"/>
          <w:numId w:val="7"/>
        </w:numPr>
        <w:jc w:val="both"/>
        <w:rPr>
          <w:rFonts w:ascii="Aptos" w:hAnsi="Aptos" w:cstheme="minorHAnsi"/>
          <w:sz w:val="24"/>
          <w:szCs w:val="24"/>
        </w:rPr>
      </w:pPr>
      <w:r w:rsidRPr="004B62BA">
        <w:rPr>
          <w:rFonts w:ascii="Aptos" w:hAnsi="Aptos" w:cstheme="minorHAnsi"/>
          <w:sz w:val="24"/>
          <w:szCs w:val="24"/>
        </w:rPr>
        <w:t>Los SAF se consideran un componente importante en los esfuerzos para lograr una aviación más sostenible y cumplir con objetivos ambientales y regulaciones más estrictas. Se espera que los SAF desempeñen un papel creciente en la reducción del impacto ambiental de la industria de la aviación.</w:t>
      </w:r>
    </w:p>
    <w:p w14:paraId="4B8BE960" w14:textId="77777777" w:rsidR="00DE7FCF" w:rsidRPr="004B62BA" w:rsidRDefault="00DE7FCF" w:rsidP="004B62BA">
      <w:pPr>
        <w:pStyle w:val="Prrafodelista"/>
        <w:jc w:val="both"/>
        <w:rPr>
          <w:rFonts w:ascii="Aptos" w:hAnsi="Aptos" w:cstheme="minorHAnsi"/>
          <w:sz w:val="24"/>
          <w:szCs w:val="24"/>
        </w:rPr>
      </w:pPr>
    </w:p>
    <w:p w14:paraId="7C6BB857" w14:textId="77777777" w:rsidR="00DE7FCF" w:rsidRPr="004B62BA" w:rsidRDefault="00DE7FCF" w:rsidP="004B62BA">
      <w:pPr>
        <w:pStyle w:val="Prrafodelista"/>
        <w:jc w:val="both"/>
        <w:rPr>
          <w:rFonts w:ascii="Aptos" w:hAnsi="Aptos" w:cstheme="minorHAnsi"/>
          <w:sz w:val="24"/>
          <w:szCs w:val="24"/>
        </w:rPr>
      </w:pPr>
    </w:p>
    <w:p w14:paraId="1F5FC911" w14:textId="6558A255" w:rsidR="00EB0BA7" w:rsidRDefault="00EB0BA7" w:rsidP="004B62BA">
      <w:pPr>
        <w:jc w:val="both"/>
        <w:rPr>
          <w:rFonts w:ascii="Aptos" w:hAnsi="Aptos" w:cstheme="minorHAnsi"/>
          <w:b/>
          <w:bCs/>
          <w:sz w:val="24"/>
          <w:szCs w:val="24"/>
          <w:u w:val="single"/>
        </w:rPr>
      </w:pPr>
      <w:r w:rsidRPr="004B62BA">
        <w:rPr>
          <w:rFonts w:ascii="Aptos" w:hAnsi="Aptos" w:cstheme="minorHAnsi"/>
          <w:b/>
          <w:bCs/>
          <w:sz w:val="24"/>
          <w:szCs w:val="24"/>
          <w:u w:val="single"/>
        </w:rPr>
        <w:t>¿De dónde surgió</w:t>
      </w:r>
      <w:r w:rsidR="008D5439" w:rsidRPr="004B62BA">
        <w:rPr>
          <w:rFonts w:ascii="Aptos" w:hAnsi="Aptos" w:cstheme="minorHAnsi"/>
          <w:b/>
          <w:bCs/>
          <w:sz w:val="24"/>
          <w:szCs w:val="24"/>
          <w:u w:val="single"/>
        </w:rPr>
        <w:t xml:space="preserve"> la iniciativa de implementarlos y/o producirlos</w:t>
      </w:r>
      <w:r w:rsidRPr="004B62BA">
        <w:rPr>
          <w:rFonts w:ascii="Aptos" w:hAnsi="Aptos" w:cstheme="minorHAnsi"/>
          <w:b/>
          <w:bCs/>
          <w:sz w:val="24"/>
          <w:szCs w:val="24"/>
          <w:u w:val="single"/>
        </w:rPr>
        <w:t xml:space="preserve">? </w:t>
      </w:r>
    </w:p>
    <w:p w14:paraId="78D4411E" w14:textId="2ED6CAEA" w:rsidR="00EB0BA7" w:rsidRPr="004B62BA" w:rsidRDefault="00EB0BA7" w:rsidP="004B62BA">
      <w:pPr>
        <w:pStyle w:val="Prrafodelista"/>
        <w:numPr>
          <w:ilvl w:val="0"/>
          <w:numId w:val="8"/>
        </w:numPr>
        <w:jc w:val="both"/>
        <w:rPr>
          <w:rFonts w:ascii="Aptos" w:hAnsi="Aptos" w:cstheme="minorHAnsi"/>
          <w:sz w:val="24"/>
          <w:szCs w:val="24"/>
        </w:rPr>
      </w:pPr>
      <w:r w:rsidRPr="004B62BA">
        <w:rPr>
          <w:rFonts w:ascii="Aptos" w:hAnsi="Aptos" w:cstheme="minorHAnsi"/>
          <w:sz w:val="24"/>
          <w:szCs w:val="24"/>
        </w:rPr>
        <w:t xml:space="preserve">Cumplir con la meta mundial de reducir y mitigar las emisiones de gases efecto invernadero. </w:t>
      </w:r>
    </w:p>
    <w:p w14:paraId="01334FEC" w14:textId="4E63F56C" w:rsidR="00EB0BA7" w:rsidRDefault="00EB0BA7" w:rsidP="004B62BA">
      <w:pPr>
        <w:pStyle w:val="Prrafodelista"/>
        <w:numPr>
          <w:ilvl w:val="0"/>
          <w:numId w:val="8"/>
        </w:numPr>
        <w:jc w:val="both"/>
        <w:rPr>
          <w:rFonts w:ascii="Aptos" w:hAnsi="Aptos" w:cstheme="minorHAnsi"/>
          <w:sz w:val="24"/>
          <w:szCs w:val="24"/>
        </w:rPr>
      </w:pPr>
      <w:r w:rsidRPr="004B62BA">
        <w:rPr>
          <w:rFonts w:ascii="Aptos" w:hAnsi="Aptos" w:cstheme="minorHAnsi"/>
          <w:sz w:val="24"/>
          <w:szCs w:val="24"/>
        </w:rPr>
        <w:t>Aportar a las actividades de mitigación y adaptación al cambio climático a nivel nacional</w:t>
      </w:r>
      <w:r w:rsidR="004B62BA">
        <w:rPr>
          <w:rFonts w:ascii="Aptos" w:hAnsi="Aptos" w:cstheme="minorHAnsi"/>
          <w:sz w:val="24"/>
          <w:szCs w:val="24"/>
        </w:rPr>
        <w:t>.</w:t>
      </w:r>
    </w:p>
    <w:p w14:paraId="6BCB1C6E" w14:textId="77777777" w:rsidR="002C18CA" w:rsidRDefault="002C18CA" w:rsidP="002C18CA">
      <w:pPr>
        <w:pStyle w:val="Prrafodelista"/>
        <w:jc w:val="both"/>
        <w:rPr>
          <w:rFonts w:ascii="Aptos" w:hAnsi="Aptos" w:cstheme="minorHAnsi"/>
          <w:sz w:val="24"/>
          <w:szCs w:val="24"/>
        </w:rPr>
      </w:pPr>
    </w:p>
    <w:p w14:paraId="5C5FAEEB" w14:textId="77777777" w:rsidR="004B62BA" w:rsidRPr="004B62BA" w:rsidRDefault="004B62BA" w:rsidP="004B62BA">
      <w:pPr>
        <w:pStyle w:val="Prrafodelista"/>
        <w:jc w:val="both"/>
        <w:rPr>
          <w:rFonts w:ascii="Aptos" w:hAnsi="Aptos" w:cstheme="minorHAnsi"/>
          <w:sz w:val="24"/>
          <w:szCs w:val="24"/>
        </w:rPr>
      </w:pPr>
    </w:p>
    <w:p w14:paraId="1D2DDAE1" w14:textId="7EB07265" w:rsidR="00EB0BA7" w:rsidRPr="004B62BA" w:rsidRDefault="00EB0BA7" w:rsidP="004B62BA">
      <w:pPr>
        <w:pStyle w:val="Prrafodelista"/>
        <w:numPr>
          <w:ilvl w:val="0"/>
          <w:numId w:val="8"/>
        </w:numPr>
        <w:jc w:val="both"/>
        <w:rPr>
          <w:rFonts w:ascii="Aptos" w:hAnsi="Aptos" w:cstheme="minorHAnsi"/>
          <w:sz w:val="24"/>
          <w:szCs w:val="24"/>
        </w:rPr>
      </w:pPr>
      <w:r w:rsidRPr="004B62BA">
        <w:rPr>
          <w:rFonts w:ascii="Aptos" w:hAnsi="Aptos" w:cstheme="minorHAnsi"/>
          <w:sz w:val="24"/>
          <w:szCs w:val="24"/>
        </w:rPr>
        <w:t xml:space="preserve">Ley de Cambio climático 2169 </w:t>
      </w:r>
      <w:r w:rsidR="001869CD" w:rsidRPr="004B62BA">
        <w:rPr>
          <w:rFonts w:ascii="Aptos" w:hAnsi="Aptos" w:cstheme="minorHAnsi"/>
          <w:sz w:val="24"/>
          <w:szCs w:val="24"/>
        </w:rPr>
        <w:t xml:space="preserve"> </w:t>
      </w:r>
      <w:r w:rsidR="0062304B" w:rsidRPr="004B62BA">
        <w:rPr>
          <w:rFonts w:ascii="Aptos" w:hAnsi="Aptos" w:cstheme="minorHAnsi"/>
          <w:sz w:val="24"/>
          <w:szCs w:val="24"/>
        </w:rPr>
        <w:t xml:space="preserve"> del 2021 </w:t>
      </w:r>
      <w:r w:rsidR="001869CD" w:rsidRPr="004B62BA">
        <w:rPr>
          <w:rFonts w:ascii="Aptos" w:hAnsi="Aptos" w:cstheme="minorHAnsi"/>
          <w:sz w:val="24"/>
          <w:szCs w:val="24"/>
        </w:rPr>
        <w:t xml:space="preserve">artículo sexto y </w:t>
      </w:r>
      <w:r w:rsidR="008D5439" w:rsidRPr="004B62BA">
        <w:rPr>
          <w:rFonts w:ascii="Aptos" w:hAnsi="Aptos" w:cstheme="minorHAnsi"/>
          <w:sz w:val="24"/>
          <w:szCs w:val="24"/>
        </w:rPr>
        <w:t>doceavo;</w:t>
      </w:r>
      <w:r w:rsidR="001869CD" w:rsidRPr="004B62BA">
        <w:rPr>
          <w:rFonts w:ascii="Aptos" w:hAnsi="Aptos" w:cstheme="minorHAnsi"/>
          <w:sz w:val="24"/>
          <w:szCs w:val="24"/>
        </w:rPr>
        <w:t xml:space="preserve"> Motivar el uso y desarrollo de SAF a nivel nacional. </w:t>
      </w:r>
    </w:p>
    <w:p w14:paraId="50656D0B" w14:textId="4A5FEBF1" w:rsidR="00E22650" w:rsidRPr="004B62BA" w:rsidRDefault="00E22650" w:rsidP="004B62BA">
      <w:pPr>
        <w:pStyle w:val="Prrafodelista"/>
        <w:numPr>
          <w:ilvl w:val="0"/>
          <w:numId w:val="8"/>
        </w:numPr>
        <w:jc w:val="both"/>
        <w:rPr>
          <w:rFonts w:ascii="Aptos" w:hAnsi="Aptos" w:cstheme="minorHAnsi"/>
          <w:sz w:val="24"/>
          <w:szCs w:val="24"/>
        </w:rPr>
      </w:pPr>
      <w:r w:rsidRPr="004B62BA">
        <w:rPr>
          <w:rFonts w:ascii="Aptos" w:hAnsi="Aptos" w:cstheme="minorHAnsi"/>
          <w:sz w:val="24"/>
          <w:szCs w:val="24"/>
        </w:rPr>
        <w:t>RAC 216 en su apéndice IV estableció las características de sostenibilidad que deben cumplir los biocombustibles</w:t>
      </w:r>
      <w:r w:rsidR="0062304B" w:rsidRPr="004B62BA">
        <w:rPr>
          <w:rFonts w:ascii="Aptos" w:hAnsi="Aptos" w:cstheme="minorHAnsi"/>
          <w:sz w:val="24"/>
          <w:szCs w:val="24"/>
        </w:rPr>
        <w:t xml:space="preserve">. </w:t>
      </w:r>
    </w:p>
    <w:p w14:paraId="2CC8F0B5" w14:textId="20C5538F" w:rsidR="00DE7FCF" w:rsidRPr="002C18CA" w:rsidRDefault="0062304B" w:rsidP="002B0F04">
      <w:pPr>
        <w:pStyle w:val="Prrafodelista"/>
        <w:numPr>
          <w:ilvl w:val="0"/>
          <w:numId w:val="8"/>
        </w:numPr>
        <w:jc w:val="both"/>
        <w:rPr>
          <w:rFonts w:ascii="Aptos" w:hAnsi="Aptos" w:cstheme="minorHAnsi"/>
          <w:sz w:val="24"/>
          <w:szCs w:val="24"/>
        </w:rPr>
      </w:pPr>
      <w:r w:rsidRPr="002C18CA">
        <w:rPr>
          <w:rFonts w:ascii="Aptos" w:hAnsi="Aptos" w:cstheme="minorHAnsi"/>
          <w:sz w:val="24"/>
          <w:szCs w:val="24"/>
        </w:rPr>
        <w:t>Ley 2099 de 2021,</w:t>
      </w:r>
      <w:r w:rsidR="0084008F" w:rsidRPr="002C18CA">
        <w:rPr>
          <w:rFonts w:ascii="Aptos" w:hAnsi="Aptos" w:cstheme="minorHAnsi"/>
          <w:sz w:val="24"/>
          <w:szCs w:val="24"/>
        </w:rPr>
        <w:t xml:space="preserve"> </w:t>
      </w:r>
      <w:r w:rsidRPr="002C18CA">
        <w:rPr>
          <w:rFonts w:ascii="Aptos" w:hAnsi="Aptos" w:cstheme="minorHAnsi"/>
          <w:sz w:val="24"/>
          <w:szCs w:val="24"/>
        </w:rPr>
        <w:t>la transición energética, la dinamización del mercado energético, la</w:t>
      </w:r>
      <w:r w:rsidR="00BF5BE4" w:rsidRPr="002C18CA">
        <w:rPr>
          <w:rFonts w:ascii="Aptos" w:hAnsi="Aptos" w:cstheme="minorHAnsi"/>
          <w:sz w:val="24"/>
          <w:szCs w:val="24"/>
        </w:rPr>
        <w:t xml:space="preserve"> </w:t>
      </w:r>
      <w:r w:rsidRPr="002C18CA">
        <w:rPr>
          <w:rFonts w:ascii="Aptos" w:hAnsi="Aptos" w:cstheme="minorHAnsi"/>
          <w:sz w:val="24"/>
          <w:szCs w:val="24"/>
        </w:rPr>
        <w:t>reactivación económica del país</w:t>
      </w:r>
      <w:r w:rsidR="00DE7FCF" w:rsidRPr="002C18CA">
        <w:rPr>
          <w:rFonts w:ascii="Aptos" w:hAnsi="Aptos" w:cstheme="minorHAnsi"/>
          <w:sz w:val="24"/>
          <w:szCs w:val="24"/>
        </w:rPr>
        <w:t>.</w:t>
      </w:r>
    </w:p>
    <w:p w14:paraId="7F63539B" w14:textId="1F5962A1" w:rsidR="00BF5BE4" w:rsidRPr="004B62BA" w:rsidRDefault="00BF5BE4" w:rsidP="004B62BA">
      <w:pPr>
        <w:pStyle w:val="Prrafodelista"/>
        <w:numPr>
          <w:ilvl w:val="0"/>
          <w:numId w:val="8"/>
        </w:numPr>
        <w:jc w:val="both"/>
        <w:rPr>
          <w:rFonts w:ascii="Aptos" w:hAnsi="Aptos" w:cstheme="minorHAnsi"/>
          <w:sz w:val="24"/>
          <w:szCs w:val="24"/>
        </w:rPr>
      </w:pPr>
      <w:r w:rsidRPr="004B62BA">
        <w:rPr>
          <w:rFonts w:ascii="Aptos" w:hAnsi="Aptos" w:cstheme="minorHAnsi"/>
          <w:sz w:val="24"/>
          <w:szCs w:val="24"/>
        </w:rPr>
        <w:t xml:space="preserve">Que adicionalmente, el artículo 20 de la ley antes referida, señaló que para el desarrollo y uso de </w:t>
      </w:r>
      <w:r w:rsidRPr="004B62BA">
        <w:rPr>
          <w:rFonts w:ascii="Aptos" w:hAnsi="Aptos" w:cstheme="minorHAnsi"/>
          <w:b/>
          <w:bCs/>
          <w:sz w:val="24"/>
          <w:szCs w:val="24"/>
        </w:rPr>
        <w:t xml:space="preserve">energéticos alternativos </w:t>
      </w:r>
      <w:r w:rsidRPr="004B62BA">
        <w:rPr>
          <w:rFonts w:ascii="Aptos" w:hAnsi="Aptos" w:cstheme="minorHAnsi"/>
          <w:sz w:val="24"/>
          <w:szCs w:val="24"/>
        </w:rPr>
        <w:t>de origen orgánico y/o renovable, «(…) el Ministerio de Minas y Energía podrá incentivar el desarrollo e investigación de energéticos que provengan de fuentes orgánicas (origen animal o vegetal) o renovables, con el fin de expedir la regulación que permita incluirlos dentro de la matriz energética nacional y fomentar el consumo de estos en la cadena de distribución de combustibles líquidos o incluso la promoción de otros usos alternativos de estos energéticos de última generación</w:t>
      </w:r>
    </w:p>
    <w:p w14:paraId="29F17422" w14:textId="77777777" w:rsidR="004B62BA" w:rsidRDefault="004B62BA" w:rsidP="004B62BA">
      <w:pPr>
        <w:jc w:val="both"/>
        <w:rPr>
          <w:rFonts w:ascii="Aptos" w:hAnsi="Aptos" w:cstheme="minorHAnsi"/>
          <w:b/>
          <w:bCs/>
          <w:sz w:val="24"/>
          <w:szCs w:val="24"/>
          <w:u w:val="single"/>
        </w:rPr>
      </w:pPr>
    </w:p>
    <w:p w14:paraId="3A6C83D1" w14:textId="2F011478" w:rsidR="00EB0BA7" w:rsidRDefault="00EB0BA7" w:rsidP="004B62BA">
      <w:pPr>
        <w:jc w:val="both"/>
        <w:rPr>
          <w:rFonts w:ascii="Aptos" w:hAnsi="Aptos" w:cstheme="minorHAnsi"/>
          <w:b/>
          <w:bCs/>
          <w:sz w:val="24"/>
          <w:szCs w:val="24"/>
          <w:u w:val="single"/>
        </w:rPr>
      </w:pPr>
      <w:r w:rsidRPr="004B62BA">
        <w:rPr>
          <w:rFonts w:ascii="Aptos" w:hAnsi="Aptos" w:cstheme="minorHAnsi"/>
          <w:b/>
          <w:bCs/>
          <w:sz w:val="24"/>
          <w:szCs w:val="24"/>
          <w:u w:val="single"/>
        </w:rPr>
        <w:t xml:space="preserve">Metas internacionales – OACI </w:t>
      </w:r>
    </w:p>
    <w:p w14:paraId="2F75E97E" w14:textId="264CA2DD" w:rsidR="00EB0BA7" w:rsidRDefault="00EB0BA7" w:rsidP="004B62BA">
      <w:pPr>
        <w:jc w:val="both"/>
        <w:rPr>
          <w:rFonts w:ascii="Aptos" w:hAnsi="Aptos" w:cstheme="minorHAnsi"/>
          <w:sz w:val="24"/>
          <w:szCs w:val="24"/>
          <w:u w:val="single"/>
        </w:rPr>
      </w:pPr>
      <w:r w:rsidRPr="004B62BA">
        <w:rPr>
          <w:rFonts w:ascii="Aptos" w:hAnsi="Aptos" w:cstheme="minorHAnsi"/>
          <w:sz w:val="24"/>
          <w:szCs w:val="24"/>
          <w:u w:val="single"/>
        </w:rPr>
        <w:t>ALCANZAR EL 2050 CON CERO EMISIONES DE CARBONO</w:t>
      </w:r>
    </w:p>
    <w:p w14:paraId="6D8A383B" w14:textId="172E90BF" w:rsidR="00EB0BA7" w:rsidRPr="004B62BA" w:rsidRDefault="00EB0BA7" w:rsidP="004B62BA">
      <w:pPr>
        <w:pStyle w:val="Prrafodelista"/>
        <w:numPr>
          <w:ilvl w:val="0"/>
          <w:numId w:val="9"/>
        </w:numPr>
        <w:jc w:val="both"/>
        <w:rPr>
          <w:rFonts w:ascii="Aptos" w:hAnsi="Aptos" w:cstheme="minorHAnsi"/>
          <w:sz w:val="24"/>
          <w:szCs w:val="24"/>
        </w:rPr>
      </w:pPr>
      <w:r w:rsidRPr="004B62BA">
        <w:rPr>
          <w:rFonts w:ascii="Aptos" w:hAnsi="Aptos" w:cstheme="minorHAnsi"/>
          <w:sz w:val="24"/>
          <w:szCs w:val="24"/>
        </w:rPr>
        <w:t>Alineando los objetivos de la industria con las metas trazadas bajo el Acuerdo de París de mantener el calentamiento global por debajo de 1.5 C</w:t>
      </w:r>
    </w:p>
    <w:p w14:paraId="3A88E4A7" w14:textId="1C98C457" w:rsidR="00EB0BA7" w:rsidRDefault="00EB0BA7" w:rsidP="004B62BA">
      <w:pPr>
        <w:pStyle w:val="Prrafodelista"/>
        <w:numPr>
          <w:ilvl w:val="0"/>
          <w:numId w:val="9"/>
        </w:numPr>
        <w:jc w:val="both"/>
        <w:rPr>
          <w:rFonts w:ascii="Aptos" w:hAnsi="Aptos" w:cstheme="minorHAnsi"/>
          <w:sz w:val="24"/>
          <w:szCs w:val="24"/>
        </w:rPr>
      </w:pPr>
      <w:r w:rsidRPr="004B62BA">
        <w:rPr>
          <w:rFonts w:ascii="Aptos" w:hAnsi="Aptos" w:cstheme="minorHAnsi"/>
          <w:sz w:val="24"/>
          <w:szCs w:val="24"/>
        </w:rPr>
        <w:t>Mantener el beneficio de la conectividad y competitividad global del sector para las generaciones futuras</w:t>
      </w:r>
    </w:p>
    <w:p w14:paraId="17D46D6A" w14:textId="77777777" w:rsidR="004B62BA" w:rsidRPr="004B62BA" w:rsidRDefault="004B62BA" w:rsidP="004B62BA">
      <w:pPr>
        <w:pStyle w:val="Prrafodelista"/>
        <w:numPr>
          <w:ilvl w:val="0"/>
          <w:numId w:val="9"/>
        </w:numPr>
        <w:jc w:val="both"/>
        <w:rPr>
          <w:rFonts w:ascii="Aptos" w:hAnsi="Aptos" w:cstheme="minorHAnsi"/>
          <w:sz w:val="24"/>
          <w:szCs w:val="24"/>
        </w:rPr>
      </w:pPr>
      <w:r w:rsidRPr="004B62BA">
        <w:rPr>
          <w:rFonts w:ascii="Aptos" w:hAnsi="Aptos" w:cstheme="minorHAnsi"/>
          <w:sz w:val="24"/>
          <w:szCs w:val="24"/>
        </w:rPr>
        <w:t>La Conferencia de las Naciones Unidas sobre el Cambio Climático (COP26) celebrada en Glasgow reunió a 120 líderes mundiales y más de 40.000 participantes inscritos, entre los que se incluían 22.274 delegados de las partes, 14.124 observadores y 3.886 representantes de los medios. Durante dos semanas, la atención del mundo se ha centrado en todos los aspectos del cambio climático: los fundamentos científicos, las soluciones, la voluntad política de tomar medidas y las indicaciones claras para la acción por el clima.</w:t>
      </w:r>
    </w:p>
    <w:p w14:paraId="4B76337B" w14:textId="77777777" w:rsidR="004B62BA" w:rsidRPr="004B62BA" w:rsidRDefault="004B62BA" w:rsidP="004B62BA">
      <w:pPr>
        <w:pStyle w:val="Prrafodelista"/>
        <w:numPr>
          <w:ilvl w:val="0"/>
          <w:numId w:val="9"/>
        </w:numPr>
        <w:jc w:val="both"/>
        <w:rPr>
          <w:rFonts w:ascii="Aptos" w:hAnsi="Aptos" w:cstheme="minorHAnsi"/>
          <w:sz w:val="24"/>
          <w:szCs w:val="24"/>
        </w:rPr>
      </w:pPr>
      <w:r w:rsidRPr="004B62BA">
        <w:rPr>
          <w:rFonts w:ascii="Aptos" w:hAnsi="Aptos" w:cstheme="minorHAnsi"/>
          <w:sz w:val="24"/>
          <w:szCs w:val="24"/>
        </w:rPr>
        <w:t>Los resultados de la COP26 (el Pacto de Glasgow para el Clima) son el fruto de las intensas negociaciones sostenidas entre cerca de 200 países a lo largo de las dos semanas, el arduo trabajo, formal e informal, de varios meses y una interacción constante, tanto virtual como presencial, durante casi dos años.</w:t>
      </w:r>
    </w:p>
    <w:p w14:paraId="7804F5B4" w14:textId="4D23468D" w:rsidR="004B62BA" w:rsidRDefault="004B62BA" w:rsidP="004B62BA">
      <w:pPr>
        <w:pStyle w:val="Prrafodelista"/>
        <w:jc w:val="both"/>
        <w:rPr>
          <w:rFonts w:ascii="Aptos" w:hAnsi="Aptos" w:cstheme="minorHAnsi"/>
          <w:sz w:val="24"/>
          <w:szCs w:val="24"/>
        </w:rPr>
      </w:pPr>
    </w:p>
    <w:p w14:paraId="5D567280" w14:textId="77777777" w:rsidR="002C18CA" w:rsidRDefault="002C18CA" w:rsidP="004B62BA">
      <w:pPr>
        <w:pStyle w:val="Prrafodelista"/>
        <w:jc w:val="both"/>
        <w:rPr>
          <w:rFonts w:ascii="Aptos" w:hAnsi="Aptos" w:cstheme="minorHAnsi"/>
          <w:sz w:val="24"/>
          <w:szCs w:val="24"/>
        </w:rPr>
      </w:pPr>
    </w:p>
    <w:p w14:paraId="148A4BD1" w14:textId="343CDFE5" w:rsidR="004B62BA" w:rsidRDefault="004B62BA" w:rsidP="004B62BA">
      <w:pPr>
        <w:pStyle w:val="Prrafodelista"/>
        <w:jc w:val="both"/>
        <w:rPr>
          <w:rFonts w:ascii="Aptos" w:hAnsi="Aptos" w:cstheme="minorHAnsi"/>
          <w:sz w:val="24"/>
          <w:szCs w:val="24"/>
        </w:rPr>
      </w:pPr>
    </w:p>
    <w:p w14:paraId="1E6628B7" w14:textId="77777777" w:rsidR="004B62BA" w:rsidRDefault="004B62BA" w:rsidP="004B62BA">
      <w:pPr>
        <w:pStyle w:val="Prrafodelista"/>
        <w:jc w:val="both"/>
        <w:rPr>
          <w:rFonts w:ascii="Aptos" w:hAnsi="Aptos" w:cstheme="minorHAnsi"/>
          <w:sz w:val="24"/>
          <w:szCs w:val="24"/>
        </w:rPr>
      </w:pPr>
    </w:p>
    <w:p w14:paraId="346C96D4" w14:textId="77777777" w:rsidR="004B62BA" w:rsidRDefault="004B62BA" w:rsidP="004B62BA">
      <w:pPr>
        <w:pStyle w:val="Prrafodelista"/>
        <w:jc w:val="both"/>
        <w:rPr>
          <w:rFonts w:ascii="Aptos" w:hAnsi="Aptos" w:cstheme="minorHAnsi"/>
          <w:sz w:val="24"/>
          <w:szCs w:val="24"/>
        </w:rPr>
      </w:pPr>
    </w:p>
    <w:p w14:paraId="2BB0FB93" w14:textId="44E31729" w:rsidR="004B62BA" w:rsidRPr="004B62BA" w:rsidRDefault="004B62BA" w:rsidP="004B62BA">
      <w:pPr>
        <w:pStyle w:val="Prrafodelista"/>
        <w:jc w:val="both"/>
        <w:rPr>
          <w:rFonts w:ascii="Aptos" w:hAnsi="Aptos" w:cstheme="minorHAnsi"/>
          <w:sz w:val="24"/>
          <w:szCs w:val="24"/>
        </w:rPr>
      </w:pPr>
      <w:r w:rsidRPr="004B62BA">
        <w:rPr>
          <w:rFonts w:ascii="Aptos" w:hAnsi="Aptos" w:cstheme="minorHAnsi"/>
          <w:b/>
          <w:bCs/>
          <w:sz w:val="24"/>
          <w:szCs w:val="24"/>
          <w:u w:val="single"/>
        </w:rPr>
        <w:t xml:space="preserve">¿Qué se acordó en temas de SAF? </w:t>
      </w:r>
    </w:p>
    <w:p w14:paraId="1857FA2A" w14:textId="77777777" w:rsidR="00DE7FCF" w:rsidRPr="004B62BA" w:rsidRDefault="00DE7FCF" w:rsidP="004B62BA">
      <w:pPr>
        <w:pStyle w:val="Default"/>
        <w:jc w:val="both"/>
        <w:rPr>
          <w:rFonts w:ascii="Aptos" w:hAnsi="Aptos" w:cstheme="minorHAnsi"/>
          <w:b/>
          <w:bCs/>
          <w:color w:val="auto"/>
          <w:u w:val="single"/>
        </w:rPr>
      </w:pPr>
    </w:p>
    <w:p w14:paraId="5945EA37" w14:textId="15E9832C" w:rsidR="000A1075" w:rsidRPr="004B62BA" w:rsidRDefault="00EB0BA7" w:rsidP="004B62BA">
      <w:pPr>
        <w:pStyle w:val="Default"/>
        <w:jc w:val="both"/>
        <w:rPr>
          <w:rFonts w:ascii="Aptos" w:hAnsi="Aptos" w:cstheme="minorHAnsi"/>
          <w:b/>
          <w:bCs/>
          <w:color w:val="auto"/>
          <w:u w:val="single"/>
        </w:rPr>
      </w:pPr>
      <w:r w:rsidRPr="004B62BA">
        <w:rPr>
          <w:rFonts w:ascii="Aptos" w:hAnsi="Aptos" w:cstheme="minorHAnsi"/>
          <w:b/>
          <w:bCs/>
          <w:color w:val="auto"/>
        </w:rPr>
        <w:t xml:space="preserve">Metas </w:t>
      </w:r>
      <w:r w:rsidR="001869CD" w:rsidRPr="004B62BA">
        <w:rPr>
          <w:rFonts w:ascii="Aptos" w:hAnsi="Aptos" w:cstheme="minorHAnsi"/>
          <w:b/>
          <w:bCs/>
          <w:color w:val="auto"/>
        </w:rPr>
        <w:t>Nacionales</w:t>
      </w:r>
    </w:p>
    <w:p w14:paraId="45E51999" w14:textId="1A3A74B7" w:rsidR="001869CD" w:rsidRPr="004B62BA" w:rsidRDefault="001869CD" w:rsidP="004B62BA">
      <w:pPr>
        <w:pStyle w:val="Default"/>
        <w:jc w:val="both"/>
        <w:rPr>
          <w:rFonts w:ascii="Aptos" w:hAnsi="Aptos" w:cstheme="minorHAnsi"/>
          <w:b/>
          <w:bCs/>
          <w:color w:val="auto"/>
          <w:u w:val="single"/>
        </w:rPr>
      </w:pPr>
      <w:r w:rsidRPr="004B62BA">
        <w:rPr>
          <w:rFonts w:ascii="Aptos" w:hAnsi="Aptos" w:cstheme="minorHAnsi"/>
          <w:b/>
          <w:bCs/>
          <w:strike/>
          <w:color w:val="auto"/>
          <w:u w:val="single"/>
        </w:rPr>
        <w:t xml:space="preserve"> </w:t>
      </w:r>
    </w:p>
    <w:p w14:paraId="36A3124E" w14:textId="71B4C6DC" w:rsidR="00575607" w:rsidRPr="004B62BA" w:rsidRDefault="00575607" w:rsidP="004B62BA">
      <w:pPr>
        <w:pStyle w:val="Prrafodelista"/>
        <w:numPr>
          <w:ilvl w:val="0"/>
          <w:numId w:val="10"/>
        </w:numPr>
        <w:jc w:val="both"/>
        <w:rPr>
          <w:rFonts w:ascii="Aptos" w:hAnsi="Aptos" w:cstheme="minorHAnsi"/>
          <w:b/>
          <w:bCs/>
          <w:sz w:val="24"/>
          <w:szCs w:val="24"/>
        </w:rPr>
      </w:pPr>
      <w:r w:rsidRPr="004B62BA">
        <w:rPr>
          <w:rFonts w:ascii="Aptos" w:hAnsi="Aptos" w:cstheme="minorHAnsi"/>
          <w:b/>
          <w:bCs/>
          <w:sz w:val="24"/>
          <w:szCs w:val="24"/>
        </w:rPr>
        <w:t xml:space="preserve">Hoja de ruta de </w:t>
      </w:r>
      <w:r w:rsidR="002249EB" w:rsidRPr="004B62BA">
        <w:rPr>
          <w:rFonts w:ascii="Aptos" w:hAnsi="Aptos" w:cstheme="minorHAnsi"/>
          <w:b/>
          <w:bCs/>
          <w:sz w:val="24"/>
          <w:szCs w:val="24"/>
        </w:rPr>
        <w:t>T</w:t>
      </w:r>
      <w:r w:rsidRPr="004B62BA">
        <w:rPr>
          <w:rFonts w:ascii="Aptos" w:hAnsi="Aptos" w:cstheme="minorHAnsi"/>
          <w:b/>
          <w:bCs/>
          <w:sz w:val="24"/>
          <w:szCs w:val="24"/>
        </w:rPr>
        <w:t xml:space="preserve">ransición </w:t>
      </w:r>
      <w:r w:rsidR="002249EB" w:rsidRPr="004B62BA">
        <w:rPr>
          <w:rFonts w:ascii="Aptos" w:hAnsi="Aptos" w:cstheme="minorHAnsi"/>
          <w:b/>
          <w:bCs/>
          <w:sz w:val="24"/>
          <w:szCs w:val="24"/>
        </w:rPr>
        <w:t>E</w:t>
      </w:r>
      <w:r w:rsidRPr="004B62BA">
        <w:rPr>
          <w:rFonts w:ascii="Aptos" w:hAnsi="Aptos" w:cstheme="minorHAnsi"/>
          <w:b/>
          <w:bCs/>
          <w:sz w:val="24"/>
          <w:szCs w:val="24"/>
        </w:rPr>
        <w:t xml:space="preserve">nergética </w:t>
      </w:r>
      <w:r w:rsidR="002249EB" w:rsidRPr="004B62BA">
        <w:rPr>
          <w:rFonts w:ascii="Aptos" w:hAnsi="Aptos" w:cstheme="minorHAnsi"/>
          <w:b/>
          <w:bCs/>
          <w:sz w:val="24"/>
          <w:szCs w:val="24"/>
        </w:rPr>
        <w:t xml:space="preserve">Justa </w:t>
      </w:r>
      <w:r w:rsidR="0081215E" w:rsidRPr="004B62BA">
        <w:rPr>
          <w:rFonts w:ascii="Aptos" w:hAnsi="Aptos"/>
          <w:sz w:val="24"/>
          <w:szCs w:val="24"/>
        </w:rPr>
        <w:t xml:space="preserve">propone un aumento de la demanda de energía en Colombia para pasar de un consumo de 1402 PJ en 2021 (UPME, 2022a) a un total 2087 PJ en 2050. Este crecimiento denota la necesidad de un desarrollo nacional que responda más que al crecimiento demográfico a un desarrollo multisectorial. Para la construcción del escenario se emplearon varios pilares. </w:t>
      </w:r>
    </w:p>
    <w:p w14:paraId="15213C83" w14:textId="1DFE0F71" w:rsidR="001869CD" w:rsidRPr="004B62BA" w:rsidRDefault="001869CD" w:rsidP="004B62BA">
      <w:pPr>
        <w:pStyle w:val="Prrafodelista"/>
        <w:numPr>
          <w:ilvl w:val="0"/>
          <w:numId w:val="10"/>
        </w:numPr>
        <w:jc w:val="both"/>
        <w:rPr>
          <w:rFonts w:ascii="Aptos" w:hAnsi="Aptos" w:cstheme="minorHAnsi"/>
          <w:sz w:val="24"/>
          <w:szCs w:val="24"/>
        </w:rPr>
      </w:pPr>
      <w:r w:rsidRPr="004B62BA">
        <w:rPr>
          <w:rFonts w:ascii="Aptos" w:hAnsi="Aptos" w:cstheme="minorHAnsi"/>
          <w:b/>
          <w:bCs/>
          <w:sz w:val="24"/>
          <w:szCs w:val="24"/>
        </w:rPr>
        <w:t>La Estrategia 2050</w:t>
      </w:r>
      <w:r w:rsidRPr="004B62BA">
        <w:rPr>
          <w:rFonts w:ascii="Aptos" w:hAnsi="Aptos" w:cstheme="minorHAnsi"/>
          <w:sz w:val="24"/>
          <w:szCs w:val="24"/>
        </w:rPr>
        <w:t xml:space="preserve"> es un instrumento de política de Estado que orienta las acciones nacionales, sectoriales y territoriales para construir un futuro resiliente al clima en Colombia, al tiempo que constituye un ejercicio de planificación de largo plazo que demuestra el compromiso internacional del País para contribuir con el logro de los objetivos globales plasmados en el Acuerdo de París.</w:t>
      </w:r>
    </w:p>
    <w:p w14:paraId="371B2A96" w14:textId="77777777" w:rsidR="001869CD" w:rsidRPr="004B62BA" w:rsidRDefault="001869CD" w:rsidP="004B62BA">
      <w:pPr>
        <w:pStyle w:val="Prrafodelista"/>
        <w:numPr>
          <w:ilvl w:val="0"/>
          <w:numId w:val="10"/>
        </w:numPr>
        <w:jc w:val="both"/>
        <w:rPr>
          <w:rFonts w:ascii="Aptos" w:hAnsi="Aptos" w:cstheme="minorHAnsi"/>
          <w:sz w:val="24"/>
          <w:szCs w:val="24"/>
        </w:rPr>
      </w:pPr>
      <w:r w:rsidRPr="004B62BA">
        <w:rPr>
          <w:rFonts w:ascii="Aptos" w:hAnsi="Aptos" w:cstheme="minorHAnsi"/>
          <w:b/>
          <w:bCs/>
          <w:sz w:val="24"/>
          <w:szCs w:val="24"/>
        </w:rPr>
        <w:t>El Acuerdo de París</w:t>
      </w:r>
      <w:r w:rsidRPr="004B62BA">
        <w:rPr>
          <w:rFonts w:ascii="Aptos" w:hAnsi="Aptos" w:cstheme="minorHAnsi"/>
          <w:sz w:val="24"/>
          <w:szCs w:val="24"/>
        </w:rPr>
        <w:t xml:space="preserve"> en su Artículo 4, numeral 19 establece que: “Todas las Partes deberían esforzarse por formular y comunicar estrategias a largo plazo para un desarrollo con bajas emisiones de gases de efecto invernadero, teniendo presente el artículo 2 y tomando en consideración sus responsabilidades comunes pero diferenciadas y sus capacidades respectivas, a la luz de las diferentes circunstancias nacionales”.</w:t>
      </w:r>
    </w:p>
    <w:p w14:paraId="73DED72D" w14:textId="7EEB280C" w:rsidR="001869CD" w:rsidRPr="004B62BA" w:rsidRDefault="00E22650" w:rsidP="004B62BA">
      <w:pPr>
        <w:pStyle w:val="Default"/>
        <w:numPr>
          <w:ilvl w:val="0"/>
          <w:numId w:val="10"/>
        </w:numPr>
        <w:jc w:val="both"/>
        <w:rPr>
          <w:rFonts w:ascii="Aptos" w:hAnsi="Aptos" w:cstheme="minorHAnsi"/>
          <w:b/>
          <w:bCs/>
          <w:color w:val="auto"/>
          <w:u w:val="single"/>
        </w:rPr>
      </w:pPr>
      <w:r w:rsidRPr="004B62BA">
        <w:rPr>
          <w:rFonts w:ascii="Aptos" w:hAnsi="Aptos" w:cstheme="minorHAnsi"/>
          <w:b/>
          <w:bCs/>
          <w:color w:val="auto"/>
        </w:rPr>
        <w:t>Plan Nacional de Adaptación al Cambio Climático (PNACC</w:t>
      </w:r>
      <w:r w:rsidRPr="004B62BA">
        <w:rPr>
          <w:rFonts w:ascii="Aptos" w:hAnsi="Aptos" w:cstheme="minorHAnsi"/>
          <w:color w:val="auto"/>
        </w:rPr>
        <w:t>) constituye el mecanismo que orienta la gestión y organiza los procesos de planificación nacional en materia de adaptación, y articula la implementación de políticas, planes, acciones y proyectos para reducir la vulnerabilidad y aumentar la capacidad adaptativa ante los posibles impactos de fenómenos climáticos en el país. Colombia se encuentra actualmente en la formulación del Plan de Acción del PNACC con apoyo del Programa de Preparación para la Adaptación Nacional al Cambio Climático financiado con recursos del Fondo Verde del Clima.</w:t>
      </w:r>
    </w:p>
    <w:p w14:paraId="3382186A" w14:textId="20EF6583" w:rsidR="001869CD" w:rsidRPr="004B62BA" w:rsidRDefault="001869CD" w:rsidP="004B62BA">
      <w:pPr>
        <w:pStyle w:val="Default"/>
        <w:jc w:val="both"/>
        <w:rPr>
          <w:rFonts w:ascii="Aptos" w:hAnsi="Aptos" w:cstheme="minorHAnsi"/>
          <w:b/>
          <w:bCs/>
          <w:color w:val="auto"/>
          <w:u w:val="single"/>
        </w:rPr>
      </w:pPr>
    </w:p>
    <w:p w14:paraId="133337CF" w14:textId="1CC3E657" w:rsidR="00EB0BA7" w:rsidRPr="004B62BA" w:rsidRDefault="00BF5BE4" w:rsidP="004B62BA">
      <w:pPr>
        <w:jc w:val="both"/>
        <w:rPr>
          <w:rFonts w:ascii="Aptos" w:hAnsi="Aptos" w:cstheme="minorHAnsi"/>
          <w:b/>
          <w:bCs/>
          <w:sz w:val="24"/>
          <w:szCs w:val="24"/>
          <w:u w:val="single"/>
        </w:rPr>
      </w:pPr>
      <w:r w:rsidRPr="004B62BA">
        <w:rPr>
          <w:rFonts w:ascii="Aptos" w:hAnsi="Aptos" w:cstheme="minorHAnsi"/>
          <w:b/>
          <w:bCs/>
          <w:sz w:val="24"/>
          <w:szCs w:val="24"/>
          <w:u w:val="single"/>
        </w:rPr>
        <w:t xml:space="preserve">Criterios de Sostenibilidad para SAF </w:t>
      </w:r>
    </w:p>
    <w:p w14:paraId="39ED0151" w14:textId="09167734" w:rsidR="00BF5BE4" w:rsidRPr="004B62BA" w:rsidRDefault="00BF5BE4" w:rsidP="004B62BA">
      <w:pPr>
        <w:pStyle w:val="Prrafodelista"/>
        <w:numPr>
          <w:ilvl w:val="0"/>
          <w:numId w:val="11"/>
        </w:numPr>
        <w:jc w:val="both"/>
        <w:rPr>
          <w:rFonts w:ascii="Aptos" w:hAnsi="Aptos" w:cstheme="minorHAnsi"/>
          <w:sz w:val="24"/>
          <w:szCs w:val="24"/>
        </w:rPr>
      </w:pPr>
      <w:r w:rsidRPr="004B62BA">
        <w:rPr>
          <w:rFonts w:ascii="Aptos" w:hAnsi="Aptos" w:cstheme="minorHAnsi"/>
          <w:sz w:val="24"/>
          <w:szCs w:val="24"/>
        </w:rPr>
        <w:t xml:space="preserve">No deforestación: Bosques primarios </w:t>
      </w:r>
    </w:p>
    <w:p w14:paraId="545845BC" w14:textId="7ED03088" w:rsidR="00BF5BE4" w:rsidRPr="004B62BA" w:rsidRDefault="00BF5BE4" w:rsidP="004B62BA">
      <w:pPr>
        <w:pStyle w:val="Prrafodelista"/>
        <w:numPr>
          <w:ilvl w:val="0"/>
          <w:numId w:val="11"/>
        </w:numPr>
        <w:jc w:val="both"/>
        <w:rPr>
          <w:rFonts w:ascii="Aptos" w:hAnsi="Aptos" w:cstheme="minorHAnsi"/>
          <w:sz w:val="24"/>
          <w:szCs w:val="24"/>
        </w:rPr>
      </w:pPr>
      <w:r w:rsidRPr="004B62BA">
        <w:rPr>
          <w:rFonts w:ascii="Aptos" w:hAnsi="Aptos" w:cstheme="minorHAnsi"/>
          <w:sz w:val="24"/>
          <w:szCs w:val="24"/>
        </w:rPr>
        <w:t xml:space="preserve">No afectación Calidad y Disponibilidad del Agua </w:t>
      </w:r>
    </w:p>
    <w:p w14:paraId="597817CF" w14:textId="7E510DB2" w:rsidR="00BF5BE4" w:rsidRPr="004B62BA" w:rsidRDefault="00BF5BE4" w:rsidP="004B62BA">
      <w:pPr>
        <w:pStyle w:val="Prrafodelista"/>
        <w:numPr>
          <w:ilvl w:val="0"/>
          <w:numId w:val="11"/>
        </w:numPr>
        <w:jc w:val="both"/>
        <w:rPr>
          <w:rFonts w:ascii="Aptos" w:hAnsi="Aptos" w:cstheme="minorHAnsi"/>
          <w:sz w:val="24"/>
          <w:szCs w:val="24"/>
        </w:rPr>
      </w:pPr>
      <w:r w:rsidRPr="004B62BA">
        <w:rPr>
          <w:rFonts w:ascii="Aptos" w:hAnsi="Aptos" w:cstheme="minorHAnsi"/>
          <w:sz w:val="24"/>
          <w:szCs w:val="24"/>
        </w:rPr>
        <w:t xml:space="preserve">Mejores prácticas agrícolas </w:t>
      </w:r>
    </w:p>
    <w:p w14:paraId="6F364A38" w14:textId="12DA6D4B" w:rsidR="00BF5BE4" w:rsidRPr="004B62BA" w:rsidRDefault="00BF5BE4" w:rsidP="004B62BA">
      <w:pPr>
        <w:pStyle w:val="Prrafodelista"/>
        <w:numPr>
          <w:ilvl w:val="0"/>
          <w:numId w:val="11"/>
        </w:numPr>
        <w:jc w:val="both"/>
        <w:rPr>
          <w:rFonts w:ascii="Aptos" w:hAnsi="Aptos" w:cstheme="minorHAnsi"/>
          <w:sz w:val="24"/>
          <w:szCs w:val="24"/>
        </w:rPr>
      </w:pPr>
      <w:r w:rsidRPr="004B62BA">
        <w:rPr>
          <w:rFonts w:ascii="Aptos" w:hAnsi="Aptos" w:cstheme="minorHAnsi"/>
          <w:sz w:val="24"/>
          <w:szCs w:val="24"/>
        </w:rPr>
        <w:t xml:space="preserve">Limitación en emisiones </w:t>
      </w:r>
    </w:p>
    <w:p w14:paraId="10CA4760" w14:textId="58738C30" w:rsidR="00BF5BE4" w:rsidRDefault="00BF5BE4" w:rsidP="004B62BA">
      <w:pPr>
        <w:pStyle w:val="Prrafodelista"/>
        <w:numPr>
          <w:ilvl w:val="0"/>
          <w:numId w:val="11"/>
        </w:numPr>
        <w:jc w:val="both"/>
        <w:rPr>
          <w:rFonts w:ascii="Aptos" w:hAnsi="Aptos" w:cstheme="minorHAnsi"/>
          <w:sz w:val="24"/>
          <w:szCs w:val="24"/>
        </w:rPr>
      </w:pPr>
      <w:r w:rsidRPr="004B62BA">
        <w:rPr>
          <w:rFonts w:ascii="Aptos" w:hAnsi="Aptos" w:cstheme="minorHAnsi"/>
          <w:sz w:val="24"/>
          <w:szCs w:val="24"/>
        </w:rPr>
        <w:t>Conservación</w:t>
      </w:r>
    </w:p>
    <w:p w14:paraId="63D5F8A8" w14:textId="77777777" w:rsidR="002C18CA" w:rsidRDefault="002C18CA" w:rsidP="002C18CA">
      <w:pPr>
        <w:pStyle w:val="Prrafodelista"/>
        <w:jc w:val="both"/>
        <w:rPr>
          <w:rFonts w:ascii="Aptos" w:hAnsi="Aptos" w:cstheme="minorHAnsi"/>
          <w:sz w:val="24"/>
          <w:szCs w:val="24"/>
        </w:rPr>
      </w:pPr>
    </w:p>
    <w:p w14:paraId="27C71E38" w14:textId="77777777" w:rsidR="004B62BA" w:rsidRPr="004B62BA" w:rsidRDefault="004B62BA" w:rsidP="004B62BA">
      <w:pPr>
        <w:pStyle w:val="Prrafodelista"/>
        <w:jc w:val="both"/>
        <w:rPr>
          <w:rFonts w:ascii="Aptos" w:hAnsi="Aptos" w:cstheme="minorHAnsi"/>
          <w:sz w:val="24"/>
          <w:szCs w:val="24"/>
        </w:rPr>
      </w:pPr>
    </w:p>
    <w:p w14:paraId="3B20D942" w14:textId="45B0377A" w:rsidR="00BF5BE4" w:rsidRPr="004B62BA" w:rsidRDefault="00BF5BE4" w:rsidP="004B62BA">
      <w:pPr>
        <w:pStyle w:val="Prrafodelista"/>
        <w:numPr>
          <w:ilvl w:val="0"/>
          <w:numId w:val="11"/>
        </w:numPr>
        <w:jc w:val="both"/>
        <w:rPr>
          <w:rFonts w:ascii="Aptos" w:hAnsi="Aptos" w:cstheme="minorHAnsi"/>
          <w:sz w:val="24"/>
          <w:szCs w:val="24"/>
        </w:rPr>
      </w:pPr>
      <w:r w:rsidRPr="004B62BA">
        <w:rPr>
          <w:rFonts w:ascii="Aptos" w:hAnsi="Aptos" w:cstheme="minorHAnsi"/>
          <w:sz w:val="24"/>
          <w:szCs w:val="24"/>
        </w:rPr>
        <w:t xml:space="preserve">Buen manejo de residuos </w:t>
      </w:r>
    </w:p>
    <w:p w14:paraId="763B9955" w14:textId="6CE32562" w:rsidR="00BF5BE4" w:rsidRPr="004B62BA" w:rsidRDefault="00BF5BE4" w:rsidP="004B62BA">
      <w:pPr>
        <w:pStyle w:val="Prrafodelista"/>
        <w:numPr>
          <w:ilvl w:val="0"/>
          <w:numId w:val="11"/>
        </w:numPr>
        <w:jc w:val="both"/>
        <w:rPr>
          <w:rFonts w:ascii="Aptos" w:hAnsi="Aptos" w:cstheme="minorHAnsi"/>
          <w:sz w:val="24"/>
          <w:szCs w:val="24"/>
        </w:rPr>
      </w:pPr>
      <w:r w:rsidRPr="004B62BA">
        <w:rPr>
          <w:rFonts w:ascii="Aptos" w:hAnsi="Aptos" w:cstheme="minorHAnsi"/>
          <w:sz w:val="24"/>
          <w:szCs w:val="24"/>
        </w:rPr>
        <w:t xml:space="preserve">Derechos humanos y laborales </w:t>
      </w:r>
    </w:p>
    <w:p w14:paraId="67764258" w14:textId="5AD7BC46" w:rsidR="00BF5BE4" w:rsidRPr="004B62BA" w:rsidRDefault="00BF5BE4" w:rsidP="004B62BA">
      <w:pPr>
        <w:pStyle w:val="Prrafodelista"/>
        <w:numPr>
          <w:ilvl w:val="0"/>
          <w:numId w:val="11"/>
        </w:numPr>
        <w:jc w:val="both"/>
        <w:rPr>
          <w:rFonts w:ascii="Aptos" w:hAnsi="Aptos" w:cstheme="minorHAnsi"/>
          <w:sz w:val="24"/>
          <w:szCs w:val="24"/>
        </w:rPr>
      </w:pPr>
      <w:r w:rsidRPr="004B62BA">
        <w:rPr>
          <w:rFonts w:ascii="Aptos" w:hAnsi="Aptos" w:cstheme="minorHAnsi"/>
          <w:sz w:val="24"/>
          <w:szCs w:val="24"/>
        </w:rPr>
        <w:t xml:space="preserve">Desarrollo local y Social </w:t>
      </w:r>
    </w:p>
    <w:p w14:paraId="60583513" w14:textId="52218866" w:rsidR="00BF5BE4" w:rsidRPr="004B62BA" w:rsidRDefault="00BF5BE4" w:rsidP="004B62BA">
      <w:pPr>
        <w:pStyle w:val="Prrafodelista"/>
        <w:numPr>
          <w:ilvl w:val="0"/>
          <w:numId w:val="11"/>
        </w:numPr>
        <w:jc w:val="both"/>
        <w:rPr>
          <w:rFonts w:ascii="Aptos" w:hAnsi="Aptos" w:cstheme="minorHAnsi"/>
          <w:sz w:val="24"/>
          <w:szCs w:val="24"/>
        </w:rPr>
      </w:pPr>
      <w:r w:rsidRPr="004B62BA">
        <w:rPr>
          <w:rFonts w:ascii="Aptos" w:hAnsi="Aptos" w:cstheme="minorHAnsi"/>
          <w:sz w:val="24"/>
          <w:szCs w:val="24"/>
        </w:rPr>
        <w:t>Seguridad Alimentaria</w:t>
      </w:r>
    </w:p>
    <w:p w14:paraId="6B7A86B2" w14:textId="568E4C1B" w:rsidR="008D5439" w:rsidRPr="004B62BA" w:rsidRDefault="008D5439" w:rsidP="004B62BA">
      <w:pPr>
        <w:pStyle w:val="Prrafodelista"/>
        <w:jc w:val="both"/>
        <w:rPr>
          <w:rFonts w:ascii="Aptos" w:hAnsi="Aptos" w:cstheme="minorHAnsi"/>
          <w:sz w:val="24"/>
          <w:szCs w:val="24"/>
        </w:rPr>
      </w:pPr>
    </w:p>
    <w:p w14:paraId="57463D6F" w14:textId="55FA2604" w:rsidR="00BF5BE4" w:rsidRPr="004B62BA" w:rsidRDefault="00601B5F" w:rsidP="004B62BA">
      <w:pPr>
        <w:jc w:val="both"/>
        <w:rPr>
          <w:rFonts w:ascii="Aptos" w:hAnsi="Aptos" w:cstheme="minorHAnsi"/>
          <w:b/>
          <w:bCs/>
          <w:sz w:val="24"/>
          <w:szCs w:val="24"/>
          <w:u w:val="single"/>
        </w:rPr>
      </w:pPr>
      <w:r w:rsidRPr="004B62BA">
        <w:rPr>
          <w:rFonts w:ascii="Aptos" w:hAnsi="Aptos" w:cstheme="minorHAnsi"/>
          <w:b/>
          <w:bCs/>
          <w:sz w:val="24"/>
          <w:szCs w:val="24"/>
          <w:u w:val="single"/>
        </w:rPr>
        <w:t>Materias Primas</w:t>
      </w:r>
      <w:r w:rsidR="000A1075" w:rsidRPr="004B62BA">
        <w:rPr>
          <w:rFonts w:ascii="Aptos" w:hAnsi="Aptos" w:cstheme="minorHAnsi"/>
          <w:b/>
          <w:bCs/>
          <w:sz w:val="24"/>
          <w:szCs w:val="24"/>
          <w:u w:val="single"/>
        </w:rPr>
        <w:t xml:space="preserve"> -</w:t>
      </w:r>
      <w:r w:rsidRPr="004B62BA">
        <w:rPr>
          <w:rFonts w:ascii="Aptos" w:hAnsi="Aptos" w:cstheme="minorHAnsi"/>
          <w:b/>
          <w:bCs/>
          <w:sz w:val="24"/>
          <w:szCs w:val="24"/>
          <w:u w:val="single"/>
        </w:rPr>
        <w:t xml:space="preserve"> Colombia </w:t>
      </w:r>
    </w:p>
    <w:p w14:paraId="4165E2EC" w14:textId="0ED73907" w:rsidR="0081215E" w:rsidRPr="004B62BA" w:rsidRDefault="0081215E" w:rsidP="004B62BA">
      <w:pPr>
        <w:jc w:val="both"/>
        <w:rPr>
          <w:rFonts w:ascii="Aptos" w:hAnsi="Aptos" w:cstheme="minorHAnsi"/>
          <w:sz w:val="24"/>
          <w:szCs w:val="24"/>
        </w:rPr>
      </w:pPr>
      <w:r w:rsidRPr="004B62BA">
        <w:rPr>
          <w:rFonts w:ascii="Aptos" w:hAnsi="Aptos" w:cstheme="minorHAnsi"/>
          <w:sz w:val="24"/>
          <w:szCs w:val="24"/>
        </w:rPr>
        <w:t>A continuación, se mencionan las materias primas que se utilizan en la actualidad en el país para la producción de biocombustibles. Sin embargo, no son las únicas disponibles en el país:</w:t>
      </w:r>
    </w:p>
    <w:p w14:paraId="152CB0AA" w14:textId="566572FF" w:rsidR="00106CDA" w:rsidRPr="004B62BA" w:rsidRDefault="0081215E" w:rsidP="004B62BA">
      <w:pPr>
        <w:pStyle w:val="Prrafodelista"/>
        <w:numPr>
          <w:ilvl w:val="0"/>
          <w:numId w:val="12"/>
        </w:numPr>
        <w:jc w:val="both"/>
        <w:rPr>
          <w:rFonts w:ascii="Aptos" w:hAnsi="Aptos" w:cstheme="minorHAnsi"/>
          <w:sz w:val="24"/>
          <w:szCs w:val="24"/>
        </w:rPr>
      </w:pPr>
      <w:r w:rsidRPr="004B62BA">
        <w:rPr>
          <w:rFonts w:ascii="Aptos" w:hAnsi="Aptos" w:cstheme="minorHAnsi"/>
          <w:b/>
          <w:bCs/>
          <w:sz w:val="24"/>
          <w:szCs w:val="24"/>
        </w:rPr>
        <w:t>Aceite de palma</w:t>
      </w:r>
      <w:r w:rsidRPr="004B62BA">
        <w:rPr>
          <w:rFonts w:ascii="Aptos" w:hAnsi="Aptos" w:cstheme="minorHAnsi"/>
          <w:sz w:val="24"/>
          <w:szCs w:val="24"/>
        </w:rPr>
        <w:t xml:space="preserve">: </w:t>
      </w:r>
      <w:r w:rsidR="00106CDA" w:rsidRPr="004B62BA">
        <w:rPr>
          <w:rFonts w:ascii="Aptos" w:hAnsi="Aptos" w:cstheme="minorHAnsi"/>
          <w:sz w:val="24"/>
          <w:szCs w:val="24"/>
        </w:rPr>
        <w:t>De acuerdo con la mesa técnica con Fedepalma y la información suministrada por esta organización, se establece que, la materia prima a utilizar es la correspondiente a la cantidad de aceite de palma que se genera hoy en día para exportación, lo que equivale a 641 millones de toneladas al año (dato de exportación sacado de página de Fedepalma para 2021), esto sin afectar la demanda interna que está enfocada al sector alimentario y al de oleo químicos. La eficiencia de esta transformación a biodiésel es de 1:1, por lo tanto, teniendo en cuenta que la demanda de SAF es de 276 millones de galones (1.045 millones de m3 al año y 714 ton). Actualmente, la biomasa disponible para la producción de SAF suple en un 89% sin tener en cuenta la expansión de la industria, es decir, lo que se tiene actualmente.</w:t>
      </w:r>
    </w:p>
    <w:p w14:paraId="7FBD17AD" w14:textId="77777777" w:rsidR="000A1075" w:rsidRPr="004B62BA" w:rsidRDefault="000A1075" w:rsidP="004B62BA">
      <w:pPr>
        <w:pStyle w:val="Prrafodelista"/>
        <w:jc w:val="both"/>
        <w:rPr>
          <w:rFonts w:ascii="Aptos" w:hAnsi="Aptos" w:cstheme="minorHAnsi"/>
          <w:sz w:val="24"/>
          <w:szCs w:val="24"/>
        </w:rPr>
      </w:pPr>
    </w:p>
    <w:p w14:paraId="100E252E" w14:textId="5E3D798E" w:rsidR="00106CDA" w:rsidRPr="004B62BA" w:rsidRDefault="0081215E" w:rsidP="004B62BA">
      <w:pPr>
        <w:pStyle w:val="Prrafodelista"/>
        <w:numPr>
          <w:ilvl w:val="0"/>
          <w:numId w:val="12"/>
        </w:numPr>
        <w:jc w:val="both"/>
        <w:rPr>
          <w:rFonts w:ascii="Aptos" w:hAnsi="Aptos" w:cstheme="minorHAnsi"/>
          <w:sz w:val="24"/>
          <w:szCs w:val="24"/>
        </w:rPr>
      </w:pPr>
      <w:r w:rsidRPr="004B62BA">
        <w:rPr>
          <w:rFonts w:ascii="Aptos" w:hAnsi="Aptos" w:cstheme="minorHAnsi"/>
          <w:b/>
          <w:bCs/>
          <w:sz w:val="24"/>
          <w:szCs w:val="24"/>
        </w:rPr>
        <w:t>Caña de azúcar</w:t>
      </w:r>
      <w:r w:rsidRPr="004B62BA">
        <w:rPr>
          <w:rFonts w:ascii="Aptos" w:hAnsi="Aptos" w:cstheme="minorHAnsi"/>
          <w:sz w:val="24"/>
          <w:szCs w:val="24"/>
        </w:rPr>
        <w:t xml:space="preserve">: </w:t>
      </w:r>
      <w:r w:rsidR="00106CDA" w:rsidRPr="004B62BA">
        <w:rPr>
          <w:rFonts w:ascii="Aptos" w:hAnsi="Aptos" w:cstheme="minorHAnsi"/>
          <w:sz w:val="24"/>
          <w:szCs w:val="24"/>
        </w:rPr>
        <w:t>Para establecer la disponibilidad se toma como base los 276 millones de galones que actualmente se requiere para la mezcla de SAF para suplir su oferta, su relación de transformación es 1:1, por lo tanto, frente a la disponibilidad actual que es de 114 millones de galones (usados para exportación) no afectan la seguridad alimentaria, solo se suple el 39% de la demanda y no hay expectativas para el crecimiento de esta industria por lo tanto se debe complementar con otra materia prima o biomasa.</w:t>
      </w:r>
    </w:p>
    <w:p w14:paraId="27342655" w14:textId="77777777" w:rsidR="000A1075" w:rsidRPr="004B62BA" w:rsidRDefault="000A1075" w:rsidP="004B62BA">
      <w:pPr>
        <w:pStyle w:val="Prrafodelista"/>
        <w:jc w:val="both"/>
        <w:rPr>
          <w:rFonts w:ascii="Aptos" w:hAnsi="Aptos" w:cstheme="minorHAnsi"/>
          <w:sz w:val="24"/>
          <w:szCs w:val="24"/>
        </w:rPr>
      </w:pPr>
    </w:p>
    <w:p w14:paraId="61D66C16" w14:textId="1CDF0F94" w:rsidR="00106CDA" w:rsidRDefault="0081215E" w:rsidP="004B62BA">
      <w:pPr>
        <w:pStyle w:val="Prrafodelista"/>
        <w:numPr>
          <w:ilvl w:val="0"/>
          <w:numId w:val="12"/>
        </w:numPr>
        <w:jc w:val="both"/>
        <w:rPr>
          <w:rFonts w:ascii="Aptos" w:hAnsi="Aptos" w:cstheme="minorHAnsi"/>
          <w:sz w:val="24"/>
          <w:szCs w:val="24"/>
        </w:rPr>
      </w:pPr>
      <w:r w:rsidRPr="004B62BA">
        <w:rPr>
          <w:rFonts w:ascii="Aptos" w:hAnsi="Aptos" w:cstheme="minorHAnsi"/>
          <w:b/>
          <w:bCs/>
          <w:sz w:val="24"/>
          <w:szCs w:val="24"/>
        </w:rPr>
        <w:t>Aceite cocina usado</w:t>
      </w:r>
      <w:r w:rsidRPr="004B62BA">
        <w:rPr>
          <w:rFonts w:ascii="Aptos" w:hAnsi="Aptos" w:cstheme="minorHAnsi"/>
          <w:sz w:val="24"/>
          <w:szCs w:val="24"/>
        </w:rPr>
        <w:t xml:space="preserve">: </w:t>
      </w:r>
      <w:r w:rsidR="00106CDA" w:rsidRPr="004B62BA">
        <w:rPr>
          <w:rFonts w:ascii="Aptos" w:hAnsi="Aptos" w:cstheme="minorHAnsi"/>
          <w:sz w:val="24"/>
          <w:szCs w:val="24"/>
        </w:rPr>
        <w:t>En Colombia, el consumo aparente de aceite vegetal para el año 2018, fue de aproximadamente de 1,7 millones de toneladas, lo que indica un consumo por habitante de 34,2 kg al año. Cabe resaltar que, el 20% del aceite vegetal utilizado se convierte en residuo (6,84 kg por habitante al año).</w:t>
      </w:r>
    </w:p>
    <w:p w14:paraId="332BE8D8" w14:textId="77777777" w:rsidR="004B62BA" w:rsidRPr="004B62BA" w:rsidRDefault="004B62BA" w:rsidP="004B62BA">
      <w:pPr>
        <w:pStyle w:val="Prrafodelista"/>
        <w:jc w:val="both"/>
        <w:rPr>
          <w:rFonts w:ascii="Aptos" w:hAnsi="Aptos" w:cstheme="minorHAnsi"/>
          <w:sz w:val="24"/>
          <w:szCs w:val="24"/>
        </w:rPr>
      </w:pPr>
    </w:p>
    <w:p w14:paraId="34657450" w14:textId="5034A3C2" w:rsidR="004B62BA" w:rsidRDefault="004B62BA" w:rsidP="004B62BA">
      <w:pPr>
        <w:pStyle w:val="Prrafodelista"/>
        <w:jc w:val="both"/>
        <w:rPr>
          <w:rFonts w:ascii="Aptos" w:hAnsi="Aptos" w:cstheme="minorHAnsi"/>
          <w:sz w:val="24"/>
          <w:szCs w:val="24"/>
        </w:rPr>
      </w:pPr>
    </w:p>
    <w:p w14:paraId="0E7B3AEC" w14:textId="2890235D" w:rsidR="004B62BA" w:rsidRDefault="004B62BA" w:rsidP="004B62BA">
      <w:pPr>
        <w:pStyle w:val="Prrafodelista"/>
        <w:jc w:val="both"/>
        <w:rPr>
          <w:rFonts w:ascii="Aptos" w:hAnsi="Aptos" w:cstheme="minorHAnsi"/>
          <w:sz w:val="24"/>
          <w:szCs w:val="24"/>
        </w:rPr>
      </w:pPr>
    </w:p>
    <w:p w14:paraId="3CA96008" w14:textId="48D5E40E" w:rsidR="004B62BA" w:rsidRDefault="004B62BA" w:rsidP="004B62BA">
      <w:pPr>
        <w:pStyle w:val="Prrafodelista"/>
        <w:jc w:val="both"/>
        <w:rPr>
          <w:rFonts w:ascii="Aptos" w:hAnsi="Aptos" w:cstheme="minorHAnsi"/>
          <w:sz w:val="24"/>
          <w:szCs w:val="24"/>
        </w:rPr>
      </w:pPr>
    </w:p>
    <w:p w14:paraId="509ABC0F" w14:textId="77777777" w:rsidR="004B62BA" w:rsidRDefault="004B62BA" w:rsidP="004B62BA">
      <w:pPr>
        <w:pStyle w:val="Prrafodelista"/>
        <w:jc w:val="both"/>
        <w:rPr>
          <w:rFonts w:ascii="Aptos" w:hAnsi="Aptos" w:cstheme="minorHAnsi"/>
          <w:sz w:val="24"/>
          <w:szCs w:val="24"/>
        </w:rPr>
      </w:pPr>
    </w:p>
    <w:p w14:paraId="3B2D992D" w14:textId="40225881" w:rsidR="0081215E" w:rsidRPr="004B62BA" w:rsidRDefault="002249EB" w:rsidP="004B62BA">
      <w:pPr>
        <w:jc w:val="both"/>
        <w:rPr>
          <w:rFonts w:ascii="Aptos" w:hAnsi="Aptos" w:cstheme="minorHAnsi"/>
          <w:sz w:val="24"/>
          <w:szCs w:val="24"/>
          <w:u w:val="single"/>
        </w:rPr>
      </w:pPr>
      <w:r w:rsidRPr="004B62BA">
        <w:rPr>
          <w:rFonts w:ascii="Aptos" w:hAnsi="Aptos" w:cstheme="minorHAnsi"/>
          <w:b/>
          <w:bCs/>
          <w:sz w:val="24"/>
          <w:szCs w:val="24"/>
        </w:rPr>
        <w:t>Otr</w:t>
      </w:r>
      <w:r w:rsidR="0081215E" w:rsidRPr="004B62BA">
        <w:rPr>
          <w:rFonts w:ascii="Aptos" w:hAnsi="Aptos" w:cstheme="minorHAnsi"/>
          <w:b/>
          <w:bCs/>
          <w:sz w:val="24"/>
          <w:szCs w:val="24"/>
        </w:rPr>
        <w:t>as materias primas:</w:t>
      </w:r>
    </w:p>
    <w:p w14:paraId="5F5A23D2" w14:textId="77777777" w:rsidR="0081215E" w:rsidRPr="004B62BA" w:rsidRDefault="0081215E" w:rsidP="004B62BA">
      <w:pPr>
        <w:pStyle w:val="Prrafodelista"/>
        <w:jc w:val="both"/>
        <w:rPr>
          <w:rFonts w:ascii="Aptos" w:hAnsi="Aptos" w:cstheme="minorHAnsi"/>
          <w:sz w:val="24"/>
          <w:szCs w:val="24"/>
          <w:highlight w:val="yellow"/>
        </w:rPr>
      </w:pPr>
    </w:p>
    <w:p w14:paraId="6F13F0B4" w14:textId="0CDFF84C" w:rsidR="0081215E" w:rsidRPr="004B62BA" w:rsidRDefault="0081215E" w:rsidP="004B62BA">
      <w:pPr>
        <w:pStyle w:val="Prrafodelista"/>
        <w:numPr>
          <w:ilvl w:val="0"/>
          <w:numId w:val="12"/>
        </w:numPr>
        <w:jc w:val="both"/>
        <w:rPr>
          <w:rFonts w:ascii="Aptos" w:hAnsi="Aptos" w:cstheme="minorHAnsi"/>
          <w:sz w:val="24"/>
          <w:szCs w:val="24"/>
        </w:rPr>
      </w:pPr>
      <w:r w:rsidRPr="004B62BA">
        <w:rPr>
          <w:rFonts w:ascii="Aptos" w:hAnsi="Aptos" w:cstheme="minorHAnsi"/>
          <w:sz w:val="24"/>
          <w:szCs w:val="24"/>
        </w:rPr>
        <w:t>Biomasa: La biomasa es una fuente versátil de materia prima para la producción de biocombustibles. Puede incluir cultivos energéticos como el maíz, la caña de azúcar, el sorgo y el trigo, así como residuos agrícolas y forestales, como la paja de maíz, los residuos de madera y las hojas.</w:t>
      </w:r>
    </w:p>
    <w:p w14:paraId="074536CE" w14:textId="77777777" w:rsidR="0081215E" w:rsidRPr="004B62BA" w:rsidRDefault="0081215E" w:rsidP="004B62BA">
      <w:pPr>
        <w:pStyle w:val="Prrafodelista"/>
        <w:jc w:val="both"/>
        <w:rPr>
          <w:rFonts w:ascii="Aptos" w:hAnsi="Aptos" w:cstheme="minorHAnsi"/>
          <w:sz w:val="24"/>
          <w:szCs w:val="24"/>
        </w:rPr>
      </w:pPr>
    </w:p>
    <w:p w14:paraId="6B06264B" w14:textId="05544359" w:rsidR="0081215E" w:rsidRPr="004B62BA" w:rsidRDefault="0081215E" w:rsidP="004B62BA">
      <w:pPr>
        <w:pStyle w:val="Prrafodelista"/>
        <w:numPr>
          <w:ilvl w:val="0"/>
          <w:numId w:val="12"/>
        </w:numPr>
        <w:jc w:val="both"/>
        <w:rPr>
          <w:rFonts w:ascii="Aptos" w:hAnsi="Aptos" w:cstheme="minorHAnsi"/>
          <w:sz w:val="24"/>
          <w:szCs w:val="24"/>
        </w:rPr>
      </w:pPr>
      <w:r w:rsidRPr="004B62BA">
        <w:rPr>
          <w:rFonts w:ascii="Aptos" w:hAnsi="Aptos" w:cstheme="minorHAnsi"/>
          <w:sz w:val="24"/>
          <w:szCs w:val="24"/>
        </w:rPr>
        <w:t>Aceites vegetales: Los aceites vegetales, como el aceite de colza, el aceite de soja, el aceite de palma y el aceite de girasol, se pueden utilizar para producir biodiesel. El proceso implica la transesterificación de estos aceites para convertirlos en biodiesel.</w:t>
      </w:r>
    </w:p>
    <w:p w14:paraId="32269BEA" w14:textId="77777777" w:rsidR="0081215E" w:rsidRPr="004B62BA" w:rsidRDefault="0081215E" w:rsidP="004B62BA">
      <w:pPr>
        <w:pStyle w:val="Prrafodelista"/>
        <w:jc w:val="both"/>
        <w:rPr>
          <w:rFonts w:ascii="Aptos" w:hAnsi="Aptos" w:cstheme="minorHAnsi"/>
          <w:sz w:val="24"/>
          <w:szCs w:val="24"/>
        </w:rPr>
      </w:pPr>
    </w:p>
    <w:p w14:paraId="65F803A7" w14:textId="78BCA762" w:rsidR="0081215E" w:rsidRPr="004B62BA" w:rsidRDefault="0081215E" w:rsidP="004B62BA">
      <w:pPr>
        <w:pStyle w:val="Prrafodelista"/>
        <w:numPr>
          <w:ilvl w:val="0"/>
          <w:numId w:val="12"/>
        </w:numPr>
        <w:jc w:val="both"/>
        <w:rPr>
          <w:rFonts w:ascii="Aptos" w:hAnsi="Aptos" w:cstheme="minorHAnsi"/>
          <w:sz w:val="24"/>
          <w:szCs w:val="24"/>
        </w:rPr>
      </w:pPr>
      <w:r w:rsidRPr="004B62BA">
        <w:rPr>
          <w:rFonts w:ascii="Aptos" w:hAnsi="Aptos" w:cstheme="minorHAnsi"/>
          <w:sz w:val="24"/>
          <w:szCs w:val="24"/>
        </w:rPr>
        <w:t>Grasas animales: Las grasas animales, como la grasa de cerdo y la grasa de res, también se pueden convertir en biodiesel a través de procesos de transesterificación.</w:t>
      </w:r>
    </w:p>
    <w:p w14:paraId="3A795B36" w14:textId="77777777" w:rsidR="0081215E" w:rsidRPr="004B62BA" w:rsidRDefault="0081215E" w:rsidP="004B62BA">
      <w:pPr>
        <w:pStyle w:val="Prrafodelista"/>
        <w:jc w:val="both"/>
        <w:rPr>
          <w:rFonts w:ascii="Aptos" w:hAnsi="Aptos" w:cstheme="minorHAnsi"/>
          <w:sz w:val="24"/>
          <w:szCs w:val="24"/>
        </w:rPr>
      </w:pPr>
    </w:p>
    <w:p w14:paraId="76B119F9" w14:textId="2606C6CC" w:rsidR="0081215E" w:rsidRPr="004B62BA" w:rsidRDefault="0081215E" w:rsidP="004B62BA">
      <w:pPr>
        <w:pStyle w:val="Prrafodelista"/>
        <w:numPr>
          <w:ilvl w:val="0"/>
          <w:numId w:val="12"/>
        </w:numPr>
        <w:jc w:val="both"/>
        <w:rPr>
          <w:rFonts w:ascii="Aptos" w:hAnsi="Aptos" w:cstheme="minorHAnsi"/>
          <w:sz w:val="24"/>
          <w:szCs w:val="24"/>
        </w:rPr>
      </w:pPr>
      <w:r w:rsidRPr="004B62BA">
        <w:rPr>
          <w:rFonts w:ascii="Aptos" w:hAnsi="Aptos" w:cstheme="minorHAnsi"/>
          <w:sz w:val="24"/>
          <w:szCs w:val="24"/>
        </w:rPr>
        <w:t>Algas: Las microalgas y las macroalgas pueden ser una fuente prometedora de materia prima para la producción de biocombustibles. Los lípidos que contienen las algas se pueden convertir en biodiesel.</w:t>
      </w:r>
    </w:p>
    <w:p w14:paraId="71F7F0BF" w14:textId="77777777" w:rsidR="0081215E" w:rsidRPr="004B62BA" w:rsidRDefault="0081215E" w:rsidP="004B62BA">
      <w:pPr>
        <w:pStyle w:val="Prrafodelista"/>
        <w:jc w:val="both"/>
        <w:rPr>
          <w:rFonts w:ascii="Aptos" w:hAnsi="Aptos" w:cstheme="minorHAnsi"/>
          <w:sz w:val="24"/>
          <w:szCs w:val="24"/>
        </w:rPr>
      </w:pPr>
    </w:p>
    <w:p w14:paraId="033E4C6A" w14:textId="6D054E68" w:rsidR="0081215E" w:rsidRPr="004B62BA" w:rsidRDefault="0081215E" w:rsidP="004B62BA">
      <w:pPr>
        <w:pStyle w:val="Prrafodelista"/>
        <w:numPr>
          <w:ilvl w:val="0"/>
          <w:numId w:val="12"/>
        </w:numPr>
        <w:jc w:val="both"/>
        <w:rPr>
          <w:rFonts w:ascii="Aptos" w:hAnsi="Aptos" w:cstheme="minorHAnsi"/>
          <w:sz w:val="24"/>
          <w:szCs w:val="24"/>
        </w:rPr>
      </w:pPr>
      <w:r w:rsidRPr="004B62BA">
        <w:rPr>
          <w:rFonts w:ascii="Aptos" w:hAnsi="Aptos" w:cstheme="minorHAnsi"/>
          <w:sz w:val="24"/>
          <w:szCs w:val="24"/>
        </w:rPr>
        <w:t>Residuos orgánicos: Los residuos orgánicos, como los residuos de alimentos, lodos de depuradora y residuos agrícolas, pueden ser fermentados para producir biogás o etanol.</w:t>
      </w:r>
    </w:p>
    <w:p w14:paraId="6761E081" w14:textId="77777777" w:rsidR="0081215E" w:rsidRPr="004B62BA" w:rsidRDefault="0081215E" w:rsidP="004B62BA">
      <w:pPr>
        <w:pStyle w:val="Prrafodelista"/>
        <w:jc w:val="both"/>
        <w:rPr>
          <w:rFonts w:ascii="Aptos" w:hAnsi="Aptos" w:cstheme="minorHAnsi"/>
          <w:sz w:val="24"/>
          <w:szCs w:val="24"/>
        </w:rPr>
      </w:pPr>
    </w:p>
    <w:p w14:paraId="080621CE" w14:textId="554C644A" w:rsidR="0081215E" w:rsidRPr="004B62BA" w:rsidRDefault="0081215E" w:rsidP="004B62BA">
      <w:pPr>
        <w:pStyle w:val="Prrafodelista"/>
        <w:numPr>
          <w:ilvl w:val="0"/>
          <w:numId w:val="12"/>
        </w:numPr>
        <w:jc w:val="both"/>
        <w:rPr>
          <w:rFonts w:ascii="Aptos" w:hAnsi="Aptos" w:cstheme="minorHAnsi"/>
          <w:sz w:val="24"/>
          <w:szCs w:val="24"/>
        </w:rPr>
      </w:pPr>
      <w:r w:rsidRPr="004B62BA">
        <w:rPr>
          <w:rFonts w:ascii="Aptos" w:hAnsi="Aptos" w:cstheme="minorHAnsi"/>
          <w:sz w:val="24"/>
          <w:szCs w:val="24"/>
        </w:rPr>
        <w:t>Madera y celulosa: La lignocelulosa, que se encuentra en la madera y otros materiales vegetales fibrosos, se puede utilizar para producir etanol de segunda generación a través de procesos de fermentación y descomposición enzimática.</w:t>
      </w:r>
    </w:p>
    <w:p w14:paraId="7F1D72C6" w14:textId="77777777" w:rsidR="0081215E" w:rsidRPr="004B62BA" w:rsidRDefault="0081215E" w:rsidP="004B62BA">
      <w:pPr>
        <w:pStyle w:val="Prrafodelista"/>
        <w:jc w:val="both"/>
        <w:rPr>
          <w:rFonts w:ascii="Aptos" w:hAnsi="Aptos" w:cstheme="minorHAnsi"/>
          <w:sz w:val="24"/>
          <w:szCs w:val="24"/>
        </w:rPr>
      </w:pPr>
    </w:p>
    <w:p w14:paraId="6E4B7E27" w14:textId="1C063882" w:rsidR="0081215E" w:rsidRPr="004B62BA" w:rsidRDefault="0081215E" w:rsidP="004B62BA">
      <w:pPr>
        <w:pStyle w:val="Prrafodelista"/>
        <w:numPr>
          <w:ilvl w:val="0"/>
          <w:numId w:val="12"/>
        </w:numPr>
        <w:jc w:val="both"/>
        <w:rPr>
          <w:rFonts w:ascii="Aptos" w:hAnsi="Aptos" w:cstheme="minorHAnsi"/>
          <w:sz w:val="24"/>
          <w:szCs w:val="24"/>
        </w:rPr>
      </w:pPr>
      <w:r w:rsidRPr="004B62BA">
        <w:rPr>
          <w:rFonts w:ascii="Aptos" w:hAnsi="Aptos" w:cstheme="minorHAnsi"/>
          <w:sz w:val="24"/>
          <w:szCs w:val="24"/>
        </w:rPr>
        <w:t xml:space="preserve">Desperdicios de cultivos no alimentarios: Cultivos no destinados a la alimentación humana o animal, como el </w:t>
      </w:r>
      <w:proofErr w:type="spellStart"/>
      <w:r w:rsidRPr="004B62BA">
        <w:rPr>
          <w:rFonts w:ascii="Aptos" w:hAnsi="Aptos" w:cstheme="minorHAnsi"/>
          <w:sz w:val="24"/>
          <w:szCs w:val="24"/>
        </w:rPr>
        <w:t>miscanthus</w:t>
      </w:r>
      <w:proofErr w:type="spellEnd"/>
      <w:r w:rsidRPr="004B62BA">
        <w:rPr>
          <w:rFonts w:ascii="Aptos" w:hAnsi="Aptos" w:cstheme="minorHAnsi"/>
          <w:sz w:val="24"/>
          <w:szCs w:val="24"/>
        </w:rPr>
        <w:t xml:space="preserve"> o el </w:t>
      </w:r>
      <w:proofErr w:type="spellStart"/>
      <w:r w:rsidRPr="004B62BA">
        <w:rPr>
          <w:rFonts w:ascii="Aptos" w:hAnsi="Aptos" w:cstheme="minorHAnsi"/>
          <w:sz w:val="24"/>
          <w:szCs w:val="24"/>
        </w:rPr>
        <w:t>switchgrass</w:t>
      </w:r>
      <w:proofErr w:type="spellEnd"/>
      <w:r w:rsidRPr="004B62BA">
        <w:rPr>
          <w:rFonts w:ascii="Aptos" w:hAnsi="Aptos" w:cstheme="minorHAnsi"/>
          <w:sz w:val="24"/>
          <w:szCs w:val="24"/>
        </w:rPr>
        <w:t>, se pueden utilizar para producir biocombustibles.</w:t>
      </w:r>
    </w:p>
    <w:p w14:paraId="1FE8D668" w14:textId="77777777" w:rsidR="0081215E" w:rsidRPr="004B62BA" w:rsidRDefault="0081215E" w:rsidP="004B62BA">
      <w:pPr>
        <w:pStyle w:val="Prrafodelista"/>
        <w:jc w:val="both"/>
        <w:rPr>
          <w:rFonts w:ascii="Aptos" w:hAnsi="Aptos" w:cstheme="minorHAnsi"/>
          <w:sz w:val="24"/>
          <w:szCs w:val="24"/>
        </w:rPr>
      </w:pPr>
    </w:p>
    <w:p w14:paraId="61339658" w14:textId="5E975C99" w:rsidR="0081215E" w:rsidRDefault="0081215E" w:rsidP="004B62BA">
      <w:pPr>
        <w:pStyle w:val="Prrafodelista"/>
        <w:numPr>
          <w:ilvl w:val="0"/>
          <w:numId w:val="12"/>
        </w:numPr>
        <w:jc w:val="both"/>
        <w:rPr>
          <w:rFonts w:ascii="Aptos" w:hAnsi="Aptos" w:cstheme="minorHAnsi"/>
          <w:sz w:val="24"/>
          <w:szCs w:val="24"/>
        </w:rPr>
      </w:pPr>
      <w:r w:rsidRPr="004B62BA">
        <w:rPr>
          <w:rFonts w:ascii="Aptos" w:hAnsi="Aptos" w:cstheme="minorHAnsi"/>
          <w:sz w:val="24"/>
          <w:szCs w:val="24"/>
        </w:rPr>
        <w:t>Residuos de la industria forestal: Los residuos de la industria forestal, como aserrín y virutas de madera, se pueden utilizar para producir pellets de madera o para generar calor y electricidad.</w:t>
      </w:r>
    </w:p>
    <w:p w14:paraId="71BF417E" w14:textId="77777777" w:rsidR="004B62BA" w:rsidRPr="004B62BA" w:rsidRDefault="004B62BA" w:rsidP="004B62BA">
      <w:pPr>
        <w:pStyle w:val="Prrafodelista"/>
        <w:rPr>
          <w:rFonts w:ascii="Aptos" w:hAnsi="Aptos" w:cstheme="minorHAnsi"/>
          <w:sz w:val="24"/>
          <w:szCs w:val="24"/>
        </w:rPr>
      </w:pPr>
    </w:p>
    <w:p w14:paraId="6FC849AC" w14:textId="77777777" w:rsidR="004B62BA" w:rsidRPr="004B62BA" w:rsidRDefault="004B62BA" w:rsidP="004B62BA">
      <w:pPr>
        <w:pStyle w:val="Prrafodelista"/>
        <w:jc w:val="both"/>
        <w:rPr>
          <w:rFonts w:ascii="Aptos" w:hAnsi="Aptos" w:cstheme="minorHAnsi"/>
          <w:sz w:val="24"/>
          <w:szCs w:val="24"/>
        </w:rPr>
      </w:pPr>
    </w:p>
    <w:p w14:paraId="131B862A" w14:textId="15E0D9DA" w:rsidR="0081215E" w:rsidRPr="004B62BA" w:rsidRDefault="0081215E" w:rsidP="004B62BA">
      <w:pPr>
        <w:pStyle w:val="Prrafodelista"/>
        <w:numPr>
          <w:ilvl w:val="0"/>
          <w:numId w:val="12"/>
        </w:numPr>
        <w:jc w:val="both"/>
        <w:rPr>
          <w:rFonts w:ascii="Aptos" w:hAnsi="Aptos" w:cstheme="minorHAnsi"/>
          <w:sz w:val="24"/>
          <w:szCs w:val="24"/>
        </w:rPr>
      </w:pPr>
      <w:r w:rsidRPr="004B62BA">
        <w:rPr>
          <w:rFonts w:ascii="Aptos" w:hAnsi="Aptos" w:cstheme="minorHAnsi"/>
          <w:sz w:val="24"/>
          <w:szCs w:val="24"/>
        </w:rPr>
        <w:t>Residuos de la industria del papel: Los subproductos de la producción de papel, como la pulpa negra, se pueden utilizar para producir biogás o etanol.</w:t>
      </w:r>
    </w:p>
    <w:p w14:paraId="1C357AE3" w14:textId="77777777" w:rsidR="0081215E" w:rsidRPr="004B62BA" w:rsidRDefault="0081215E" w:rsidP="004B62BA">
      <w:pPr>
        <w:pStyle w:val="Prrafodelista"/>
        <w:jc w:val="both"/>
        <w:rPr>
          <w:rFonts w:ascii="Aptos" w:hAnsi="Aptos" w:cstheme="minorHAnsi"/>
          <w:sz w:val="24"/>
          <w:szCs w:val="24"/>
          <w:highlight w:val="yellow"/>
        </w:rPr>
      </w:pPr>
    </w:p>
    <w:p w14:paraId="7621E155" w14:textId="7D2941E6" w:rsidR="00BF5BE4" w:rsidRPr="004B62BA" w:rsidRDefault="00601B5F" w:rsidP="004B62BA">
      <w:pPr>
        <w:jc w:val="both"/>
        <w:rPr>
          <w:rFonts w:ascii="Aptos" w:hAnsi="Aptos" w:cstheme="minorHAnsi"/>
          <w:b/>
          <w:bCs/>
          <w:sz w:val="24"/>
          <w:szCs w:val="24"/>
          <w:u w:val="single"/>
        </w:rPr>
      </w:pPr>
      <w:r w:rsidRPr="004B62BA">
        <w:rPr>
          <w:rFonts w:ascii="Aptos" w:hAnsi="Aptos" w:cstheme="minorHAnsi"/>
          <w:b/>
          <w:bCs/>
          <w:sz w:val="24"/>
          <w:szCs w:val="24"/>
          <w:u w:val="single"/>
        </w:rPr>
        <w:t xml:space="preserve">Certificado De Sostenibilidad </w:t>
      </w:r>
    </w:p>
    <w:p w14:paraId="495086CF" w14:textId="31D18A1B" w:rsidR="00106CDA" w:rsidRPr="004B62BA" w:rsidRDefault="00762C51" w:rsidP="004B62BA">
      <w:pPr>
        <w:jc w:val="both"/>
        <w:rPr>
          <w:rFonts w:ascii="Aptos" w:hAnsi="Aptos" w:cstheme="minorHAnsi"/>
          <w:sz w:val="24"/>
          <w:szCs w:val="24"/>
        </w:rPr>
      </w:pPr>
      <w:r w:rsidRPr="004B62BA">
        <w:rPr>
          <w:rFonts w:ascii="Aptos" w:hAnsi="Aptos" w:cstheme="minorHAnsi"/>
          <w:sz w:val="24"/>
          <w:szCs w:val="24"/>
        </w:rPr>
        <w:t xml:space="preserve">La Certificación Internacional de Sostenibilidad y Carbono (ISCC) es un programa de certificación internacional para la producción de biomasa y bioenergía que se enfoca en la sostenibilidad del uso de la tierra, la trazabilidad y la verificación de gases de efecto invernadero a lo largo de toda la cadena de suministro. La certificación de terceros para el sistema ISCC proporciona una prueba de conformidad para el mercado europeo de biocombustibles en virtud de la Directiva de Energías Renovables (RED, por sus siglas en inglés) y la Directiva de Calidad de Combustibles (FQD, por sus siglas en inglés). La ISCC se aplica a cualquier tipo de combustible a base de biomasa, desde agricultores que producen la materia prima hasta instalaciones de producción industria. </w:t>
      </w:r>
    </w:p>
    <w:p w14:paraId="09D08D21" w14:textId="33227F34" w:rsidR="00762C51" w:rsidRPr="004B62BA" w:rsidRDefault="004B62BA" w:rsidP="004B62BA">
      <w:pPr>
        <w:jc w:val="both"/>
        <w:rPr>
          <w:rFonts w:ascii="Aptos" w:hAnsi="Aptos" w:cstheme="minorHAnsi"/>
          <w:b/>
          <w:bCs/>
          <w:sz w:val="24"/>
          <w:szCs w:val="24"/>
          <w:u w:val="single"/>
        </w:rPr>
      </w:pPr>
      <w:r w:rsidRPr="004B62BA">
        <w:rPr>
          <w:rFonts w:ascii="Aptos" w:hAnsi="Aptos" w:cstheme="minorHAnsi"/>
          <w:b/>
          <w:bCs/>
          <w:sz w:val="24"/>
          <w:szCs w:val="24"/>
          <w:u w:val="single"/>
        </w:rPr>
        <w:t>Sostenibilidad internacional y certificación del carbono</w:t>
      </w:r>
      <w:r>
        <w:rPr>
          <w:rFonts w:ascii="Aptos" w:hAnsi="Aptos" w:cstheme="minorHAnsi"/>
          <w:b/>
          <w:bCs/>
          <w:sz w:val="24"/>
          <w:szCs w:val="24"/>
          <w:u w:val="single"/>
        </w:rPr>
        <w:t xml:space="preserve"> (</w:t>
      </w:r>
      <w:r w:rsidR="00762C51" w:rsidRPr="004B62BA">
        <w:rPr>
          <w:rFonts w:ascii="Aptos" w:hAnsi="Aptos" w:cstheme="minorHAnsi"/>
          <w:b/>
          <w:bCs/>
          <w:sz w:val="24"/>
          <w:szCs w:val="24"/>
          <w:u w:val="single"/>
        </w:rPr>
        <w:t>ISCC</w:t>
      </w:r>
      <w:r>
        <w:rPr>
          <w:rFonts w:ascii="Aptos" w:hAnsi="Aptos" w:cstheme="minorHAnsi"/>
          <w:b/>
          <w:bCs/>
          <w:sz w:val="24"/>
          <w:szCs w:val="24"/>
          <w:u w:val="single"/>
        </w:rPr>
        <w:t xml:space="preserve">) </w:t>
      </w:r>
      <w:r w:rsidR="00762C51" w:rsidRPr="004B62BA">
        <w:rPr>
          <w:rFonts w:ascii="Aptos" w:hAnsi="Aptos" w:cstheme="minorHAnsi"/>
          <w:b/>
          <w:bCs/>
          <w:sz w:val="24"/>
          <w:szCs w:val="24"/>
          <w:u w:val="single"/>
        </w:rPr>
        <w:t xml:space="preserve">en CORSIA </w:t>
      </w:r>
    </w:p>
    <w:p w14:paraId="110943B6" w14:textId="4D76B8AB" w:rsidR="00762C51" w:rsidRPr="004B62BA" w:rsidRDefault="00762C51" w:rsidP="004B62BA">
      <w:pPr>
        <w:jc w:val="both"/>
        <w:rPr>
          <w:rFonts w:ascii="Aptos" w:hAnsi="Aptos" w:cstheme="minorHAnsi"/>
          <w:b/>
          <w:bCs/>
          <w:sz w:val="24"/>
          <w:szCs w:val="24"/>
          <w:u w:val="single"/>
        </w:rPr>
      </w:pPr>
      <w:r w:rsidRPr="004B62BA">
        <w:rPr>
          <w:rFonts w:ascii="Aptos" w:hAnsi="Aptos" w:cstheme="minorHAnsi"/>
          <w:sz w:val="24"/>
          <w:szCs w:val="24"/>
          <w:lang w:val="es-MX"/>
        </w:rPr>
        <w:t xml:space="preserve">La metodología ISCC </w:t>
      </w:r>
      <w:proofErr w:type="spellStart"/>
      <w:r w:rsidRPr="004B62BA">
        <w:rPr>
          <w:rFonts w:ascii="Aptos" w:hAnsi="Aptos" w:cstheme="minorHAnsi"/>
          <w:sz w:val="24"/>
          <w:szCs w:val="24"/>
          <w:lang w:val="es-MX"/>
        </w:rPr>
        <w:t>low</w:t>
      </w:r>
      <w:proofErr w:type="spellEnd"/>
      <w:r w:rsidRPr="004B62BA">
        <w:rPr>
          <w:rFonts w:ascii="Aptos" w:hAnsi="Aptos" w:cstheme="minorHAnsi"/>
          <w:sz w:val="24"/>
          <w:szCs w:val="24"/>
          <w:lang w:val="es-MX"/>
        </w:rPr>
        <w:t xml:space="preserve"> ILUC </w:t>
      </w:r>
      <w:proofErr w:type="spellStart"/>
      <w:r w:rsidRPr="004B62BA">
        <w:rPr>
          <w:rFonts w:ascii="Aptos" w:hAnsi="Aptos" w:cstheme="minorHAnsi"/>
          <w:sz w:val="24"/>
          <w:szCs w:val="24"/>
          <w:lang w:val="es-MX"/>
        </w:rPr>
        <w:t>risk</w:t>
      </w:r>
      <w:proofErr w:type="spellEnd"/>
      <w:r w:rsidRPr="004B62BA">
        <w:rPr>
          <w:rFonts w:ascii="Aptos" w:hAnsi="Aptos" w:cstheme="minorHAnsi"/>
          <w:sz w:val="24"/>
          <w:szCs w:val="24"/>
          <w:lang w:val="es-MX"/>
        </w:rPr>
        <w:t xml:space="preserve"> </w:t>
      </w:r>
      <w:proofErr w:type="spellStart"/>
      <w:r w:rsidRPr="004B62BA">
        <w:rPr>
          <w:rFonts w:ascii="Aptos" w:hAnsi="Aptos" w:cstheme="minorHAnsi"/>
          <w:sz w:val="24"/>
          <w:szCs w:val="24"/>
          <w:lang w:val="es-MX"/>
        </w:rPr>
        <w:t>certification</w:t>
      </w:r>
      <w:proofErr w:type="spellEnd"/>
      <w:r w:rsidRPr="004B62BA">
        <w:rPr>
          <w:rFonts w:ascii="Aptos" w:hAnsi="Aptos" w:cstheme="minorHAnsi"/>
          <w:sz w:val="24"/>
          <w:szCs w:val="24"/>
          <w:lang w:val="es-MX"/>
        </w:rPr>
        <w:t xml:space="preserve"> se aprobó </w:t>
      </w:r>
      <w:r w:rsidR="008D5439" w:rsidRPr="004B62BA">
        <w:rPr>
          <w:rFonts w:ascii="Aptos" w:hAnsi="Aptos" w:cstheme="minorHAnsi"/>
          <w:sz w:val="24"/>
          <w:szCs w:val="24"/>
          <w:lang w:val="es-MX"/>
        </w:rPr>
        <w:t>oficialmente en</w:t>
      </w:r>
      <w:r w:rsidRPr="004B62BA">
        <w:rPr>
          <w:rFonts w:ascii="Aptos" w:hAnsi="Aptos" w:cstheme="minorHAnsi"/>
          <w:sz w:val="24"/>
          <w:szCs w:val="24"/>
          <w:lang w:val="es-MX"/>
        </w:rPr>
        <w:t xml:space="preserve"> el año 2022 por la OACI. A partir de ahora</w:t>
      </w:r>
      <w:r w:rsidR="004B62BA">
        <w:rPr>
          <w:rFonts w:ascii="Aptos" w:hAnsi="Aptos" w:cstheme="minorHAnsi"/>
          <w:sz w:val="24"/>
          <w:szCs w:val="24"/>
          <w:lang w:val="es-MX"/>
        </w:rPr>
        <w:t>,</w:t>
      </w:r>
      <w:r w:rsidRPr="004B62BA">
        <w:rPr>
          <w:rFonts w:ascii="Aptos" w:hAnsi="Aptos" w:cstheme="minorHAnsi"/>
          <w:sz w:val="24"/>
          <w:szCs w:val="24"/>
          <w:lang w:val="es-MX"/>
        </w:rPr>
        <w:t xml:space="preserve"> bajo CORSIA es posible certificar </w:t>
      </w:r>
      <w:proofErr w:type="spellStart"/>
      <w:r w:rsidRPr="004B62BA">
        <w:rPr>
          <w:rFonts w:ascii="Aptos" w:hAnsi="Aptos" w:cstheme="minorHAnsi"/>
          <w:sz w:val="24"/>
          <w:szCs w:val="24"/>
          <w:lang w:val="es-MX"/>
        </w:rPr>
        <w:t>feedstock</w:t>
      </w:r>
      <w:proofErr w:type="spellEnd"/>
      <w:r w:rsidRPr="004B62BA">
        <w:rPr>
          <w:rFonts w:ascii="Aptos" w:hAnsi="Aptos" w:cstheme="minorHAnsi"/>
          <w:sz w:val="24"/>
          <w:szCs w:val="24"/>
          <w:lang w:val="es-MX"/>
        </w:rPr>
        <w:t xml:space="preserve"> bajo ISCC</w:t>
      </w:r>
      <w:r w:rsidRPr="004B62BA">
        <w:rPr>
          <w:rFonts w:ascii="Aptos" w:hAnsi="Aptos" w:cstheme="minorHAnsi"/>
          <w:b/>
          <w:bCs/>
          <w:sz w:val="24"/>
          <w:szCs w:val="24"/>
          <w:lang w:val="es-MX"/>
        </w:rPr>
        <w:t xml:space="preserve">. </w:t>
      </w:r>
    </w:p>
    <w:p w14:paraId="44EB46E6" w14:textId="6EFCDFC8" w:rsidR="00E22650" w:rsidRPr="004B62BA" w:rsidRDefault="00E22650" w:rsidP="004B62BA">
      <w:pPr>
        <w:jc w:val="both"/>
        <w:rPr>
          <w:rFonts w:ascii="Aptos" w:hAnsi="Aptos" w:cstheme="minorHAnsi"/>
          <w:b/>
          <w:bCs/>
          <w:sz w:val="24"/>
          <w:szCs w:val="24"/>
          <w:u w:val="single"/>
        </w:rPr>
      </w:pPr>
      <w:r w:rsidRPr="004B62BA">
        <w:rPr>
          <w:rFonts w:ascii="Aptos" w:hAnsi="Aptos" w:cstheme="minorHAnsi"/>
          <w:b/>
          <w:bCs/>
          <w:sz w:val="24"/>
          <w:szCs w:val="24"/>
          <w:u w:val="single"/>
        </w:rPr>
        <w:t xml:space="preserve"> </w:t>
      </w:r>
    </w:p>
    <w:sectPr w:rsidR="00E22650" w:rsidRPr="004B62B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1FC26" w14:textId="77777777" w:rsidR="00073468" w:rsidRDefault="00073468" w:rsidP="000A1075">
      <w:pPr>
        <w:spacing w:after="0" w:line="240" w:lineRule="auto"/>
      </w:pPr>
      <w:r>
        <w:separator/>
      </w:r>
    </w:p>
  </w:endnote>
  <w:endnote w:type="continuationSeparator" w:id="0">
    <w:p w14:paraId="4EE63672" w14:textId="77777777" w:rsidR="00073468" w:rsidRDefault="00073468" w:rsidP="000A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Aptos">
    <w:altName w:val="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5982C" w14:textId="77777777" w:rsidR="00073468" w:rsidRDefault="00073468" w:rsidP="000A1075">
      <w:pPr>
        <w:spacing w:after="0" w:line="240" w:lineRule="auto"/>
      </w:pPr>
      <w:r>
        <w:separator/>
      </w:r>
    </w:p>
  </w:footnote>
  <w:footnote w:type="continuationSeparator" w:id="0">
    <w:p w14:paraId="176CD969" w14:textId="77777777" w:rsidR="00073468" w:rsidRDefault="00073468" w:rsidP="000A1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3C9E" w14:textId="24B7A4E0" w:rsidR="000A1075" w:rsidRDefault="004B62BA">
    <w:pPr>
      <w:pStyle w:val="Encabezado"/>
    </w:pPr>
    <w:r>
      <w:rPr>
        <w:noProof/>
      </w:rPr>
      <w:drawing>
        <wp:anchor distT="0" distB="0" distL="114300" distR="114300" simplePos="0" relativeHeight="251658240" behindDoc="0" locked="0" layoutInCell="1" allowOverlap="1" wp14:anchorId="56CB0BC6" wp14:editId="63067F88">
          <wp:simplePos x="0" y="0"/>
          <wp:positionH relativeFrom="margin">
            <wp:posOffset>3568065</wp:posOffset>
          </wp:positionH>
          <wp:positionV relativeFrom="paragraph">
            <wp:posOffset>-129540</wp:posOffset>
          </wp:positionV>
          <wp:extent cx="2669540" cy="4572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5022" b="34537"/>
                  <a:stretch/>
                </pic:blipFill>
                <pic:spPr bwMode="auto">
                  <a:xfrm>
                    <a:off x="0" y="0"/>
                    <a:ext cx="2669540"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b/>
        <w:bCs/>
        <w:noProof/>
        <w:u w:val="single"/>
      </w:rPr>
      <w:drawing>
        <wp:anchor distT="0" distB="0" distL="114300" distR="114300" simplePos="0" relativeHeight="251660288" behindDoc="0" locked="0" layoutInCell="1" allowOverlap="1" wp14:anchorId="70424F72" wp14:editId="6AB5733C">
          <wp:simplePos x="0" y="0"/>
          <wp:positionH relativeFrom="column">
            <wp:posOffset>-384810</wp:posOffset>
          </wp:positionH>
          <wp:positionV relativeFrom="paragraph">
            <wp:posOffset>-154305</wp:posOffset>
          </wp:positionV>
          <wp:extent cx="1463040" cy="609600"/>
          <wp:effectExtent l="0" t="0" r="381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
                    <a:extLst>
                      <a:ext uri="{28A0092B-C50C-407E-A947-70E740481C1C}">
                        <a14:useLocalDpi xmlns:a14="http://schemas.microsoft.com/office/drawing/2010/main" val="0"/>
                      </a:ext>
                    </a:extLst>
                  </a:blip>
                  <a:srcRect l="-1" r="35043"/>
                  <a:stretch/>
                </pic:blipFill>
                <pic:spPr bwMode="auto">
                  <a:xfrm>
                    <a:off x="0" y="0"/>
                    <a:ext cx="1463040" cy="609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5813BA" w14:textId="1328F149" w:rsidR="000A1075" w:rsidRDefault="000A1075">
    <w:pPr>
      <w:pStyle w:val="Encabezado"/>
    </w:pPr>
  </w:p>
  <w:p w14:paraId="26074842" w14:textId="38C8E198" w:rsidR="000A1075" w:rsidRDefault="000A1075">
    <w:pPr>
      <w:pStyle w:val="Encabezado"/>
    </w:pPr>
  </w:p>
  <w:p w14:paraId="50B31E4D" w14:textId="100BF077" w:rsidR="000A1075" w:rsidRDefault="000A10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59A"/>
    <w:multiLevelType w:val="hybridMultilevel"/>
    <w:tmpl w:val="E1E00E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39E2278"/>
    <w:multiLevelType w:val="hybridMultilevel"/>
    <w:tmpl w:val="2FD441C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5475C2F"/>
    <w:multiLevelType w:val="hybridMultilevel"/>
    <w:tmpl w:val="63A410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B8711F6"/>
    <w:multiLevelType w:val="hybridMultilevel"/>
    <w:tmpl w:val="85FC7E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D3043A5"/>
    <w:multiLevelType w:val="hybridMultilevel"/>
    <w:tmpl w:val="BD76C920"/>
    <w:lvl w:ilvl="0" w:tplc="7FDA2CB0">
      <w:start w:val="1"/>
      <w:numFmt w:val="bullet"/>
      <w:lvlText w:val="o"/>
      <w:lvlJc w:val="left"/>
      <w:pPr>
        <w:tabs>
          <w:tab w:val="num" w:pos="720"/>
        </w:tabs>
        <w:ind w:left="720" w:hanging="360"/>
      </w:pPr>
      <w:rPr>
        <w:rFonts w:ascii="Courier New" w:hAnsi="Courier New" w:hint="default"/>
      </w:rPr>
    </w:lvl>
    <w:lvl w:ilvl="1" w:tplc="D4FEB0DA">
      <w:start w:val="1"/>
      <w:numFmt w:val="bullet"/>
      <w:lvlText w:val="o"/>
      <w:lvlJc w:val="left"/>
      <w:pPr>
        <w:tabs>
          <w:tab w:val="num" w:pos="1440"/>
        </w:tabs>
        <w:ind w:left="1440" w:hanging="360"/>
      </w:pPr>
      <w:rPr>
        <w:rFonts w:ascii="Courier New" w:hAnsi="Courier New" w:hint="default"/>
      </w:rPr>
    </w:lvl>
    <w:lvl w:ilvl="2" w:tplc="3350FF62" w:tentative="1">
      <w:start w:val="1"/>
      <w:numFmt w:val="bullet"/>
      <w:lvlText w:val="o"/>
      <w:lvlJc w:val="left"/>
      <w:pPr>
        <w:tabs>
          <w:tab w:val="num" w:pos="2160"/>
        </w:tabs>
        <w:ind w:left="2160" w:hanging="360"/>
      </w:pPr>
      <w:rPr>
        <w:rFonts w:ascii="Courier New" w:hAnsi="Courier New" w:hint="default"/>
      </w:rPr>
    </w:lvl>
    <w:lvl w:ilvl="3" w:tplc="E62CC118" w:tentative="1">
      <w:start w:val="1"/>
      <w:numFmt w:val="bullet"/>
      <w:lvlText w:val="o"/>
      <w:lvlJc w:val="left"/>
      <w:pPr>
        <w:tabs>
          <w:tab w:val="num" w:pos="2880"/>
        </w:tabs>
        <w:ind w:left="2880" w:hanging="360"/>
      </w:pPr>
      <w:rPr>
        <w:rFonts w:ascii="Courier New" w:hAnsi="Courier New" w:hint="default"/>
      </w:rPr>
    </w:lvl>
    <w:lvl w:ilvl="4" w:tplc="27E26EA6" w:tentative="1">
      <w:start w:val="1"/>
      <w:numFmt w:val="bullet"/>
      <w:lvlText w:val="o"/>
      <w:lvlJc w:val="left"/>
      <w:pPr>
        <w:tabs>
          <w:tab w:val="num" w:pos="3600"/>
        </w:tabs>
        <w:ind w:left="3600" w:hanging="360"/>
      </w:pPr>
      <w:rPr>
        <w:rFonts w:ascii="Courier New" w:hAnsi="Courier New" w:hint="default"/>
      </w:rPr>
    </w:lvl>
    <w:lvl w:ilvl="5" w:tplc="737854BC" w:tentative="1">
      <w:start w:val="1"/>
      <w:numFmt w:val="bullet"/>
      <w:lvlText w:val="o"/>
      <w:lvlJc w:val="left"/>
      <w:pPr>
        <w:tabs>
          <w:tab w:val="num" w:pos="4320"/>
        </w:tabs>
        <w:ind w:left="4320" w:hanging="360"/>
      </w:pPr>
      <w:rPr>
        <w:rFonts w:ascii="Courier New" w:hAnsi="Courier New" w:hint="default"/>
      </w:rPr>
    </w:lvl>
    <w:lvl w:ilvl="6" w:tplc="43629864" w:tentative="1">
      <w:start w:val="1"/>
      <w:numFmt w:val="bullet"/>
      <w:lvlText w:val="o"/>
      <w:lvlJc w:val="left"/>
      <w:pPr>
        <w:tabs>
          <w:tab w:val="num" w:pos="5040"/>
        </w:tabs>
        <w:ind w:left="5040" w:hanging="360"/>
      </w:pPr>
      <w:rPr>
        <w:rFonts w:ascii="Courier New" w:hAnsi="Courier New" w:hint="default"/>
      </w:rPr>
    </w:lvl>
    <w:lvl w:ilvl="7" w:tplc="DDCEB330" w:tentative="1">
      <w:start w:val="1"/>
      <w:numFmt w:val="bullet"/>
      <w:lvlText w:val="o"/>
      <w:lvlJc w:val="left"/>
      <w:pPr>
        <w:tabs>
          <w:tab w:val="num" w:pos="5760"/>
        </w:tabs>
        <w:ind w:left="5760" w:hanging="360"/>
      </w:pPr>
      <w:rPr>
        <w:rFonts w:ascii="Courier New" w:hAnsi="Courier New" w:hint="default"/>
      </w:rPr>
    </w:lvl>
    <w:lvl w:ilvl="8" w:tplc="F0A8196C"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42C95941"/>
    <w:multiLevelType w:val="hybridMultilevel"/>
    <w:tmpl w:val="D5BAB8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FAE1CC4"/>
    <w:multiLevelType w:val="hybridMultilevel"/>
    <w:tmpl w:val="3B6CF840"/>
    <w:lvl w:ilvl="0" w:tplc="2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512838"/>
    <w:multiLevelType w:val="hybridMultilevel"/>
    <w:tmpl w:val="D056E7E0"/>
    <w:lvl w:ilvl="0" w:tplc="2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057317A"/>
    <w:multiLevelType w:val="hybridMultilevel"/>
    <w:tmpl w:val="B7CEEC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4763FF3"/>
    <w:multiLevelType w:val="hybridMultilevel"/>
    <w:tmpl w:val="FA10F8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17A16EA"/>
    <w:multiLevelType w:val="hybridMultilevel"/>
    <w:tmpl w:val="B33CA506"/>
    <w:lvl w:ilvl="0" w:tplc="2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F023B2D"/>
    <w:multiLevelType w:val="hybridMultilevel"/>
    <w:tmpl w:val="5D6A3D94"/>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num w:numId="1" w16cid:durableId="1049954391">
    <w:abstractNumId w:val="11"/>
  </w:num>
  <w:num w:numId="2" w16cid:durableId="1040545731">
    <w:abstractNumId w:val="5"/>
  </w:num>
  <w:num w:numId="3" w16cid:durableId="1018507789">
    <w:abstractNumId w:val="8"/>
  </w:num>
  <w:num w:numId="4" w16cid:durableId="331690211">
    <w:abstractNumId w:val="4"/>
  </w:num>
  <w:num w:numId="5" w16cid:durableId="1988701624">
    <w:abstractNumId w:val="2"/>
  </w:num>
  <w:num w:numId="6" w16cid:durableId="1642953141">
    <w:abstractNumId w:val="9"/>
  </w:num>
  <w:num w:numId="7" w16cid:durableId="673997237">
    <w:abstractNumId w:val="1"/>
  </w:num>
  <w:num w:numId="8" w16cid:durableId="878931220">
    <w:abstractNumId w:val="10"/>
  </w:num>
  <w:num w:numId="9" w16cid:durableId="2103797446">
    <w:abstractNumId w:val="0"/>
  </w:num>
  <w:num w:numId="10" w16cid:durableId="460878546">
    <w:abstractNumId w:val="3"/>
  </w:num>
  <w:num w:numId="11" w16cid:durableId="814564105">
    <w:abstractNumId w:val="7"/>
  </w:num>
  <w:num w:numId="12" w16cid:durableId="13503361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A7"/>
    <w:rsid w:val="00073468"/>
    <w:rsid w:val="000A1075"/>
    <w:rsid w:val="00106CDA"/>
    <w:rsid w:val="001869CD"/>
    <w:rsid w:val="002249EB"/>
    <w:rsid w:val="002C18CA"/>
    <w:rsid w:val="00315145"/>
    <w:rsid w:val="003D17A3"/>
    <w:rsid w:val="00484C96"/>
    <w:rsid w:val="004B62BA"/>
    <w:rsid w:val="004F0856"/>
    <w:rsid w:val="004F2F20"/>
    <w:rsid w:val="00575607"/>
    <w:rsid w:val="005C2E65"/>
    <w:rsid w:val="00601B5F"/>
    <w:rsid w:val="0062304B"/>
    <w:rsid w:val="006B23ED"/>
    <w:rsid w:val="00762C51"/>
    <w:rsid w:val="0081215E"/>
    <w:rsid w:val="0084008F"/>
    <w:rsid w:val="008D5439"/>
    <w:rsid w:val="009427F4"/>
    <w:rsid w:val="00BF5BE4"/>
    <w:rsid w:val="00D43A01"/>
    <w:rsid w:val="00DE7FCF"/>
    <w:rsid w:val="00E22650"/>
    <w:rsid w:val="00E626E5"/>
    <w:rsid w:val="00EB0BA7"/>
    <w:rsid w:val="00EF36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9B23E"/>
  <w15:chartTrackingRefBased/>
  <w15:docId w15:val="{258CE43C-18FA-4FBB-BE05-B59784665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0BA7"/>
    <w:pPr>
      <w:ind w:left="720"/>
      <w:contextualSpacing/>
    </w:pPr>
  </w:style>
  <w:style w:type="paragraph" w:customStyle="1" w:styleId="Default">
    <w:name w:val="Default"/>
    <w:rsid w:val="00EB0BA7"/>
    <w:pPr>
      <w:autoSpaceDE w:val="0"/>
      <w:autoSpaceDN w:val="0"/>
      <w:adjustRightInd w:val="0"/>
      <w:spacing w:after="0" w:line="240" w:lineRule="auto"/>
    </w:pPr>
    <w:rPr>
      <w:rFonts w:ascii="Aktiv Grotesk" w:hAnsi="Aktiv Grotesk" w:cs="Aktiv Grotesk"/>
      <w:color w:val="000000"/>
      <w:sz w:val="24"/>
      <w:szCs w:val="24"/>
    </w:rPr>
  </w:style>
  <w:style w:type="paragraph" w:styleId="NormalWeb">
    <w:name w:val="Normal (Web)"/>
    <w:basedOn w:val="Normal"/>
    <w:uiPriority w:val="99"/>
    <w:semiHidden/>
    <w:unhideWhenUsed/>
    <w:rsid w:val="001869C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0A10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1075"/>
  </w:style>
  <w:style w:type="paragraph" w:styleId="Piedepgina">
    <w:name w:val="footer"/>
    <w:basedOn w:val="Normal"/>
    <w:link w:val="PiedepginaCar"/>
    <w:uiPriority w:val="99"/>
    <w:unhideWhenUsed/>
    <w:rsid w:val="000A10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1075"/>
  </w:style>
  <w:style w:type="character" w:styleId="Refdecomentario">
    <w:name w:val="annotation reference"/>
    <w:basedOn w:val="Fuentedeprrafopredeter"/>
    <w:uiPriority w:val="99"/>
    <w:semiHidden/>
    <w:unhideWhenUsed/>
    <w:rsid w:val="00315145"/>
    <w:rPr>
      <w:sz w:val="16"/>
      <w:szCs w:val="16"/>
    </w:rPr>
  </w:style>
  <w:style w:type="paragraph" w:styleId="Textocomentario">
    <w:name w:val="annotation text"/>
    <w:basedOn w:val="Normal"/>
    <w:link w:val="TextocomentarioCar"/>
    <w:uiPriority w:val="99"/>
    <w:unhideWhenUsed/>
    <w:rsid w:val="00315145"/>
    <w:pPr>
      <w:spacing w:line="240" w:lineRule="auto"/>
    </w:pPr>
    <w:rPr>
      <w:sz w:val="20"/>
      <w:szCs w:val="20"/>
    </w:rPr>
  </w:style>
  <w:style w:type="character" w:customStyle="1" w:styleId="TextocomentarioCar">
    <w:name w:val="Texto comentario Car"/>
    <w:basedOn w:val="Fuentedeprrafopredeter"/>
    <w:link w:val="Textocomentario"/>
    <w:uiPriority w:val="99"/>
    <w:rsid w:val="00315145"/>
    <w:rPr>
      <w:sz w:val="20"/>
      <w:szCs w:val="20"/>
    </w:rPr>
  </w:style>
  <w:style w:type="paragraph" w:styleId="Asuntodelcomentario">
    <w:name w:val="annotation subject"/>
    <w:basedOn w:val="Textocomentario"/>
    <w:next w:val="Textocomentario"/>
    <w:link w:val="AsuntodelcomentarioCar"/>
    <w:uiPriority w:val="99"/>
    <w:semiHidden/>
    <w:unhideWhenUsed/>
    <w:rsid w:val="00315145"/>
    <w:rPr>
      <w:b/>
      <w:bCs/>
    </w:rPr>
  </w:style>
  <w:style w:type="character" w:customStyle="1" w:styleId="AsuntodelcomentarioCar">
    <w:name w:val="Asunto del comentario Car"/>
    <w:basedOn w:val="TextocomentarioCar"/>
    <w:link w:val="Asuntodelcomentario"/>
    <w:uiPriority w:val="99"/>
    <w:semiHidden/>
    <w:rsid w:val="00315145"/>
    <w:rPr>
      <w:b/>
      <w:bCs/>
      <w:sz w:val="20"/>
      <w:szCs w:val="20"/>
    </w:rPr>
  </w:style>
  <w:style w:type="character" w:styleId="Hipervnculo">
    <w:name w:val="Hyperlink"/>
    <w:basedOn w:val="Fuentedeprrafopredeter"/>
    <w:uiPriority w:val="99"/>
    <w:unhideWhenUsed/>
    <w:rsid w:val="002249EB"/>
    <w:rPr>
      <w:color w:val="0563C1" w:themeColor="hyperlink"/>
      <w:u w:val="single"/>
    </w:rPr>
  </w:style>
  <w:style w:type="character" w:styleId="Mencinsinresolver">
    <w:name w:val="Unresolved Mention"/>
    <w:basedOn w:val="Fuentedeprrafopredeter"/>
    <w:uiPriority w:val="99"/>
    <w:semiHidden/>
    <w:unhideWhenUsed/>
    <w:rsid w:val="00224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2340">
      <w:bodyDiv w:val="1"/>
      <w:marLeft w:val="0"/>
      <w:marRight w:val="0"/>
      <w:marTop w:val="0"/>
      <w:marBottom w:val="0"/>
      <w:divBdr>
        <w:top w:val="none" w:sz="0" w:space="0" w:color="auto"/>
        <w:left w:val="none" w:sz="0" w:space="0" w:color="auto"/>
        <w:bottom w:val="none" w:sz="0" w:space="0" w:color="auto"/>
        <w:right w:val="none" w:sz="0" w:space="0" w:color="auto"/>
      </w:divBdr>
    </w:div>
    <w:div w:id="631912300">
      <w:bodyDiv w:val="1"/>
      <w:marLeft w:val="0"/>
      <w:marRight w:val="0"/>
      <w:marTop w:val="0"/>
      <w:marBottom w:val="0"/>
      <w:divBdr>
        <w:top w:val="none" w:sz="0" w:space="0" w:color="auto"/>
        <w:left w:val="none" w:sz="0" w:space="0" w:color="auto"/>
        <w:bottom w:val="none" w:sz="0" w:space="0" w:color="auto"/>
        <w:right w:val="none" w:sz="0" w:space="0" w:color="auto"/>
      </w:divBdr>
    </w:div>
    <w:div w:id="907493147">
      <w:bodyDiv w:val="1"/>
      <w:marLeft w:val="0"/>
      <w:marRight w:val="0"/>
      <w:marTop w:val="0"/>
      <w:marBottom w:val="0"/>
      <w:divBdr>
        <w:top w:val="none" w:sz="0" w:space="0" w:color="auto"/>
        <w:left w:val="none" w:sz="0" w:space="0" w:color="auto"/>
        <w:bottom w:val="none" w:sz="0" w:space="0" w:color="auto"/>
        <w:right w:val="none" w:sz="0" w:space="0" w:color="auto"/>
      </w:divBdr>
    </w:div>
    <w:div w:id="1383097249">
      <w:bodyDiv w:val="1"/>
      <w:marLeft w:val="0"/>
      <w:marRight w:val="0"/>
      <w:marTop w:val="0"/>
      <w:marBottom w:val="0"/>
      <w:divBdr>
        <w:top w:val="none" w:sz="0" w:space="0" w:color="auto"/>
        <w:left w:val="none" w:sz="0" w:space="0" w:color="auto"/>
        <w:bottom w:val="none" w:sz="0" w:space="0" w:color="auto"/>
        <w:right w:val="none" w:sz="0" w:space="0" w:color="auto"/>
      </w:divBdr>
    </w:div>
    <w:div w:id="202671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D1595B10A56994092302EA4352A23CA" ma:contentTypeVersion="2" ma:contentTypeDescription="Crear nuevo documento." ma:contentTypeScope="" ma:versionID="0d3384446adbaae0d39cbc5d924a4a2d">
  <xsd:schema xmlns:xsd="http://www.w3.org/2001/XMLSchema" xmlns:xs="http://www.w3.org/2001/XMLSchema" xmlns:p="http://schemas.microsoft.com/office/2006/metadata/properties" xmlns:ns1="http://schemas.microsoft.com/sharepoint/v3" xmlns:ns2="608ab36e-22fe-4157-9ef8-f0f990c30bf1" targetNamespace="http://schemas.microsoft.com/office/2006/metadata/properties" ma:root="true" ma:fieldsID="ee126d8709c90278d52bc8b5c897a6f4" ns1:_="" ns2:_="">
    <xsd:import namespace="http://schemas.microsoft.com/sharepoint/v3"/>
    <xsd:import namespace="608ab36e-22fe-4157-9ef8-f0f990c30bf1"/>
    <xsd:element name="properties">
      <xsd:complexType>
        <xsd:sequence>
          <xsd:element name="documentManagement">
            <xsd:complexType>
              <xsd:all>
                <xsd:element ref="ns1:PublishingStartDate" minOccurs="0"/>
                <xsd:element ref="ns1:PublishingExpirationDate" minOccurs="0"/>
                <xsd:element ref="ns2:Form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8ab36e-22fe-4157-9ef8-f0f990c30bf1" elementFormDefault="qualified">
    <xsd:import namespace="http://schemas.microsoft.com/office/2006/documentManagement/types"/>
    <xsd:import namespace="http://schemas.microsoft.com/office/infopath/2007/PartnerControls"/>
    <xsd:element name="Formato" ma:index="10"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Formato xmlns="608ab36e-22fe-4157-9ef8-f0f990c30bf1">/Style%20Library/Images/doc.svg</Formato>
  </documentManagement>
</p:properties>
</file>

<file path=customXml/itemProps1.xml><?xml version="1.0" encoding="utf-8"?>
<ds:datastoreItem xmlns:ds="http://schemas.openxmlformats.org/officeDocument/2006/customXml" ds:itemID="{FAEA7350-8F0B-4013-95AB-509010CDAA91}"/>
</file>

<file path=customXml/itemProps2.xml><?xml version="1.0" encoding="utf-8"?>
<ds:datastoreItem xmlns:ds="http://schemas.openxmlformats.org/officeDocument/2006/customXml" ds:itemID="{0DF333BD-269B-4594-B548-73C8275F2E9D}"/>
</file>

<file path=customXml/itemProps3.xml><?xml version="1.0" encoding="utf-8"?>
<ds:datastoreItem xmlns:ds="http://schemas.openxmlformats.org/officeDocument/2006/customXml" ds:itemID="{969539A8-E7CE-47CB-80F8-528ECAF7DDA7}"/>
</file>

<file path=docProps/app.xml><?xml version="1.0" encoding="utf-8"?>
<Properties xmlns="http://schemas.openxmlformats.org/officeDocument/2006/extended-properties" xmlns:vt="http://schemas.openxmlformats.org/officeDocument/2006/docPropsVTypes">
  <Template>Normal</Template>
  <TotalTime>0</TotalTime>
  <Pages>6</Pages>
  <Words>1679</Words>
  <Characters>9240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SAF-</dc:title>
  <dc:subject/>
  <dc:creator>Victoria Eugenia Rico Barrera</dc:creator>
  <cp:keywords/>
  <dc:description/>
  <cp:lastModifiedBy>Angie Daniela Rodriguez Tamayo</cp:lastModifiedBy>
  <cp:revision>2</cp:revision>
  <dcterms:created xsi:type="dcterms:W3CDTF">2023-11-03T21:28:00Z</dcterms:created>
  <dcterms:modified xsi:type="dcterms:W3CDTF">2023-11-03T21:28:00Z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0x0101001D1595B10A56994092302EA4352A23CA</vt:lpwstr>
  </property>
</Properties>
</file>